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ListTable2-Accent11"/>
        <w:tblW w:w="9639" w:type="dxa"/>
        <w:tblLook w:val="04A0" w:firstRow="1" w:lastRow="0" w:firstColumn="1" w:lastColumn="0" w:noHBand="0" w:noVBand="1"/>
      </w:tblPr>
      <w:tblGrid>
        <w:gridCol w:w="1925"/>
        <w:gridCol w:w="7185"/>
        <w:gridCol w:w="529"/>
      </w:tblGrid>
      <w:tr w:rsidR="005B12C4" w14:paraId="5549FB95" w14:textId="77777777" w:rsidTr="00525332">
        <w:trPr>
          <w:cnfStyle w:val="100000000000" w:firstRow="1" w:lastRow="0" w:firstColumn="0" w:lastColumn="0" w:oddVBand="0" w:evenVBand="0" w:oddHBand="0" w:evenHBand="0" w:firstRowFirstColumn="0" w:firstRowLastColumn="0" w:lastRowFirstColumn="0" w:lastRowLastColumn="0"/>
          <w:trHeight w:val="1189"/>
        </w:trPr>
        <w:tc>
          <w:tcPr>
            <w:cnfStyle w:val="001000000000" w:firstRow="0" w:lastRow="0" w:firstColumn="1" w:lastColumn="0" w:oddVBand="0" w:evenVBand="0" w:oddHBand="0" w:evenHBand="0" w:firstRowFirstColumn="0" w:firstRowLastColumn="0" w:lastRowFirstColumn="0" w:lastRowLastColumn="0"/>
            <w:tcW w:w="1925" w:type="dxa"/>
          </w:tcPr>
          <w:p w14:paraId="486F0D2D" w14:textId="77777777" w:rsidR="005B12C4" w:rsidRDefault="00A2208A" w:rsidP="00A2208A">
            <w:pPr>
              <w:jc w:val="center"/>
              <w:rPr>
                <w:rFonts w:asciiTheme="majorBidi" w:hAnsiTheme="majorBidi" w:cstheme="majorBidi"/>
                <w:b w:val="0"/>
                <w:bCs w:val="0"/>
                <w:color w:val="E36C0A" w:themeColor="accent6" w:themeShade="BF"/>
                <w:sz w:val="72"/>
                <w:szCs w:val="32"/>
                <w:u w:val="single"/>
              </w:rPr>
            </w:pPr>
            <w:r>
              <w:rPr>
                <w:noProof/>
              </w:rPr>
              <w:drawing>
                <wp:anchor distT="0" distB="0" distL="114300" distR="114300" simplePos="0" relativeHeight="251661312" behindDoc="0" locked="0" layoutInCell="1" allowOverlap="1" wp14:anchorId="3B9778A8" wp14:editId="3CFCA34B">
                  <wp:simplePos x="0" y="0"/>
                  <wp:positionH relativeFrom="column">
                    <wp:posOffset>-21640</wp:posOffset>
                  </wp:positionH>
                  <wp:positionV relativeFrom="paragraph">
                    <wp:posOffset>29413</wp:posOffset>
                  </wp:positionV>
                  <wp:extent cx="1047750" cy="838200"/>
                  <wp:effectExtent l="0" t="0" r="0" b="0"/>
                  <wp:wrapNone/>
                  <wp:docPr id="1" name="Picture 1" descr="Logo">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0" cstate="print">
                            <a:extLst>
                              <a:ext uri="{BEBA8EAE-BF5A-486C-A8C5-ECC9F3942E4B}">
                                <a14:imgProps xmlns:a14="http://schemas.microsoft.com/office/drawing/2010/main">
                                  <a14:imgLayer r:embed="rId11">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047750" cy="8382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185" w:type="dxa"/>
          </w:tcPr>
          <w:p w14:paraId="675951EF" w14:textId="2A99A864" w:rsidR="005B12C4" w:rsidRPr="005B12C4" w:rsidRDefault="005B12C4" w:rsidP="00540402">
            <w:pPr>
              <w:jc w:val="center"/>
              <w:cnfStyle w:val="100000000000" w:firstRow="1" w:lastRow="0" w:firstColumn="0" w:lastColumn="0" w:oddVBand="0" w:evenVBand="0" w:oddHBand="0" w:evenHBand="0" w:firstRowFirstColumn="0" w:firstRowLastColumn="0" w:lastRowFirstColumn="0" w:lastRowLastColumn="0"/>
              <w:rPr>
                <w:sz w:val="32"/>
              </w:rPr>
            </w:pPr>
            <w:r w:rsidRPr="005B12C4">
              <w:rPr>
                <w:sz w:val="32"/>
              </w:rPr>
              <w:t>Kashf Journal of Multidisciplinary Research</w:t>
            </w:r>
          </w:p>
          <w:p w14:paraId="68A92ED0" w14:textId="111BD98A" w:rsidR="00540402" w:rsidRPr="00540402" w:rsidRDefault="005B12C4" w:rsidP="00D632A2">
            <w:pPr>
              <w:jc w:val="center"/>
              <w:cnfStyle w:val="100000000000" w:firstRow="1" w:lastRow="0" w:firstColumn="0" w:lastColumn="0" w:oddVBand="0" w:evenVBand="0" w:oddHBand="0" w:evenHBand="0" w:firstRowFirstColumn="0" w:firstRowLastColumn="0" w:lastRowFirstColumn="0" w:lastRowLastColumn="0"/>
              <w:rPr>
                <w:color w:val="E36C0A" w:themeColor="accent6" w:themeShade="BF"/>
                <w:sz w:val="28"/>
              </w:rPr>
            </w:pPr>
            <w:r w:rsidRPr="00540402">
              <w:rPr>
                <w:color w:val="E36C0A" w:themeColor="accent6" w:themeShade="BF"/>
                <w:sz w:val="28"/>
              </w:rPr>
              <w:t>Vol:01 Issue0</w:t>
            </w:r>
            <w:r w:rsidR="00D632A2">
              <w:rPr>
                <w:color w:val="E36C0A" w:themeColor="accent6" w:themeShade="BF"/>
                <w:sz w:val="28"/>
              </w:rPr>
              <w:t>4 (</w:t>
            </w:r>
            <w:r w:rsidRPr="00540402">
              <w:rPr>
                <w:color w:val="E36C0A" w:themeColor="accent6" w:themeShade="BF"/>
                <w:sz w:val="28"/>
              </w:rPr>
              <w:t>2024</w:t>
            </w:r>
            <w:r w:rsidR="00D632A2">
              <w:rPr>
                <w:color w:val="E36C0A" w:themeColor="accent6" w:themeShade="BF"/>
                <w:sz w:val="28"/>
              </w:rPr>
              <w:t>)</w:t>
            </w:r>
          </w:p>
          <w:p w14:paraId="3D75DE78" w14:textId="77777777" w:rsidR="005B12C4" w:rsidRPr="001076B5" w:rsidRDefault="005B12C4" w:rsidP="00540402">
            <w:pPr>
              <w:jc w:val="center"/>
              <w:cnfStyle w:val="100000000000" w:firstRow="1" w:lastRow="0" w:firstColumn="0" w:lastColumn="0" w:oddVBand="0" w:evenVBand="0" w:oddHBand="0" w:evenHBand="0" w:firstRowFirstColumn="0" w:firstRowLastColumn="0" w:lastRowFirstColumn="0" w:lastRowLastColumn="0"/>
              <w:rPr>
                <w:b w:val="0"/>
                <w:color w:val="000000" w:themeColor="text1"/>
                <w:sz w:val="24"/>
              </w:rPr>
            </w:pPr>
            <w:r w:rsidRPr="001076B5">
              <w:rPr>
                <w:b w:val="0"/>
                <w:color w:val="000000" w:themeColor="text1"/>
                <w:sz w:val="24"/>
              </w:rPr>
              <w:t>P-ISSN: 3007-1992  E-ISSN: 3007-200X</w:t>
            </w:r>
          </w:p>
          <w:p w14:paraId="6DE47390" w14:textId="77777777" w:rsidR="00540402" w:rsidRPr="005B12C4" w:rsidRDefault="00540402" w:rsidP="00540402">
            <w:pPr>
              <w:jc w:val="center"/>
              <w:cnfStyle w:val="100000000000" w:firstRow="1" w:lastRow="0" w:firstColumn="0" w:lastColumn="0" w:oddVBand="0" w:evenVBand="0" w:oddHBand="0" w:evenHBand="0" w:firstRowFirstColumn="0" w:firstRowLastColumn="0" w:lastRowFirstColumn="0" w:lastRowLastColumn="0"/>
              <w:rPr>
                <w:b w:val="0"/>
                <w:color w:val="000000" w:themeColor="text1"/>
                <w:sz w:val="24"/>
              </w:rPr>
            </w:pPr>
            <w:r>
              <w:rPr>
                <w:b w:val="0"/>
                <w:color w:val="000000" w:themeColor="text1"/>
                <w:sz w:val="24"/>
              </w:rPr>
              <w:t>https://kjmr.com.pk</w:t>
            </w:r>
          </w:p>
        </w:tc>
        <w:tc>
          <w:tcPr>
            <w:tcW w:w="529" w:type="dxa"/>
          </w:tcPr>
          <w:p w14:paraId="70325093" w14:textId="77777777" w:rsidR="005B12C4" w:rsidRDefault="005B12C4" w:rsidP="0020099E">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color w:val="E36C0A" w:themeColor="accent6" w:themeShade="BF"/>
                <w:sz w:val="72"/>
                <w:szCs w:val="32"/>
                <w:u w:val="single"/>
              </w:rPr>
            </w:pPr>
          </w:p>
        </w:tc>
      </w:tr>
    </w:tbl>
    <w:p w14:paraId="1245576D" w14:textId="7311F8E2" w:rsidR="006B4235" w:rsidRPr="00265575" w:rsidRDefault="00D632A2" w:rsidP="0020099E">
      <w:pPr>
        <w:jc w:val="center"/>
        <w:rPr>
          <w:rFonts w:asciiTheme="majorBidi" w:hAnsiTheme="majorBidi" w:cstheme="majorBidi"/>
          <w:b/>
          <w:bCs/>
          <w:color w:val="E36C0A" w:themeColor="accent6" w:themeShade="BF"/>
          <w:sz w:val="40"/>
          <w:szCs w:val="32"/>
          <w:u w:val="single"/>
        </w:rPr>
      </w:pPr>
      <w:r w:rsidRPr="00D632A2">
        <w:rPr>
          <w:rFonts w:asciiTheme="majorBidi" w:hAnsiTheme="majorBidi" w:cstheme="majorBidi"/>
          <w:b/>
          <w:bCs/>
          <w:color w:val="E36C0A" w:themeColor="accent6" w:themeShade="BF"/>
          <w:sz w:val="40"/>
          <w:szCs w:val="32"/>
          <w:u w:val="single"/>
        </w:rPr>
        <w:t>HEALTH DISPARITIES AMONG MINORITY GROUPS: CAUSES AND SOLUTIONS</w:t>
      </w:r>
      <w:r w:rsidR="00A2208A" w:rsidRPr="00265575">
        <w:rPr>
          <w:rFonts w:asciiTheme="majorBidi" w:hAnsiTheme="majorBidi" w:cstheme="majorBidi"/>
          <w:b/>
          <w:noProof/>
          <w:szCs w:val="24"/>
        </w:rPr>
        <w:drawing>
          <wp:anchor distT="0" distB="0" distL="114300" distR="114300" simplePos="0" relativeHeight="251664384" behindDoc="0" locked="0" layoutInCell="1" allowOverlap="1" wp14:anchorId="0B9E09EC" wp14:editId="48EF5E87">
            <wp:simplePos x="5135245" y="1908810"/>
            <wp:positionH relativeFrom="margin">
              <wp:align>left</wp:align>
            </wp:positionH>
            <wp:positionV relativeFrom="margin">
              <wp:align>top</wp:align>
            </wp:positionV>
            <wp:extent cx="563245" cy="198120"/>
            <wp:effectExtent l="0" t="0" r="8255"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563245" cy="198120"/>
                    </a:xfrm>
                    <a:prstGeom prst="rect">
                      <a:avLst/>
                    </a:prstGeom>
                  </pic:spPr>
                </pic:pic>
              </a:graphicData>
            </a:graphic>
          </wp:anchor>
        </w:drawing>
      </w:r>
    </w:p>
    <w:p w14:paraId="167E58AB" w14:textId="77777777" w:rsidR="003614B0" w:rsidRDefault="003614B0" w:rsidP="003614B0">
      <w:pPr>
        <w:spacing w:after="0"/>
        <w:rPr>
          <w:rFonts w:asciiTheme="majorBidi" w:hAnsiTheme="majorBidi" w:cstheme="majorBidi"/>
          <w:b/>
          <w:i/>
          <w:sz w:val="24"/>
          <w:szCs w:val="24"/>
        </w:rPr>
      </w:pPr>
      <w:r w:rsidRPr="003614B0">
        <w:rPr>
          <w:rFonts w:asciiTheme="majorBidi" w:hAnsiTheme="majorBidi" w:cstheme="majorBidi"/>
          <w:b/>
          <w:i/>
          <w:sz w:val="24"/>
          <w:szCs w:val="24"/>
        </w:rPr>
        <w:t>Mohsin Ali Khan</w:t>
      </w:r>
    </w:p>
    <w:p w14:paraId="28FB1109" w14:textId="049CD15A" w:rsidR="00A963A6" w:rsidRDefault="003614B0" w:rsidP="00A963A6">
      <w:pPr>
        <w:rPr>
          <w:rFonts w:asciiTheme="majorBidi" w:hAnsiTheme="majorBidi" w:cstheme="majorBidi"/>
          <w:i/>
          <w:sz w:val="20"/>
          <w:szCs w:val="24"/>
        </w:rPr>
      </w:pPr>
      <w:r w:rsidRPr="003614B0">
        <w:rPr>
          <w:rFonts w:asciiTheme="majorBidi" w:hAnsiTheme="majorBidi" w:cstheme="majorBidi"/>
          <w:i/>
          <w:sz w:val="20"/>
          <w:szCs w:val="24"/>
        </w:rPr>
        <w:t>University of Azad Jammu &amp; Kashmir, Muzaffarabad</w:t>
      </w:r>
    </w:p>
    <w:tbl>
      <w:tblPr>
        <w:tblStyle w:val="TableGrid"/>
        <w:tblW w:w="10162" w:type="dxa"/>
        <w:tblBorders>
          <w:top w:val="single" w:sz="24" w:space="0" w:color="E36C0A" w:themeColor="accent6" w:themeShade="BF"/>
          <w:left w:val="none" w:sz="0" w:space="0" w:color="auto"/>
          <w:bottom w:val="none" w:sz="0" w:space="0" w:color="auto"/>
          <w:right w:val="none" w:sz="0" w:space="0" w:color="auto"/>
          <w:insideH w:val="single" w:sz="24" w:space="0" w:color="E36C0A" w:themeColor="accent6" w:themeShade="BF"/>
          <w:insideV w:val="none" w:sz="0" w:space="0" w:color="auto"/>
        </w:tblBorders>
        <w:tblLayout w:type="fixed"/>
        <w:tblLook w:val="04A0" w:firstRow="1" w:lastRow="0" w:firstColumn="1" w:lastColumn="0" w:noHBand="0" w:noVBand="1"/>
      </w:tblPr>
      <w:tblGrid>
        <w:gridCol w:w="2977"/>
        <w:gridCol w:w="7185"/>
      </w:tblGrid>
      <w:tr w:rsidR="00C710DB" w14:paraId="1595EDB4" w14:textId="77777777" w:rsidTr="00424CC5">
        <w:trPr>
          <w:trHeight w:val="4804"/>
        </w:trPr>
        <w:tc>
          <w:tcPr>
            <w:tcW w:w="2977" w:type="dxa"/>
          </w:tcPr>
          <w:p w14:paraId="42C95984" w14:textId="77777777" w:rsidR="00C710DB" w:rsidRDefault="00C710DB" w:rsidP="00D52D23">
            <w:pPr>
              <w:jc w:val="both"/>
              <w:rPr>
                <w:rFonts w:asciiTheme="majorBidi" w:hAnsiTheme="majorBidi" w:cstheme="majorBidi"/>
                <w:b/>
                <w:sz w:val="24"/>
                <w:szCs w:val="24"/>
              </w:rPr>
            </w:pPr>
            <w:r>
              <w:rPr>
                <w:rFonts w:asciiTheme="majorBidi" w:hAnsiTheme="majorBidi" w:cstheme="majorBidi"/>
                <w:b/>
                <w:sz w:val="24"/>
                <w:szCs w:val="24"/>
              </w:rPr>
              <w:t>Article Info</w:t>
            </w:r>
          </w:p>
          <w:p w14:paraId="417BEF3A" w14:textId="77777777" w:rsidR="00A541C4" w:rsidRDefault="00A541C4" w:rsidP="00D52D23">
            <w:pPr>
              <w:jc w:val="both"/>
              <w:rPr>
                <w:rFonts w:asciiTheme="majorBidi" w:hAnsiTheme="majorBidi" w:cstheme="majorBidi"/>
                <w:b/>
                <w:sz w:val="24"/>
                <w:szCs w:val="24"/>
              </w:rPr>
            </w:pPr>
          </w:p>
          <w:p w14:paraId="4A95487B" w14:textId="3E99FDA3" w:rsidR="00C710DB" w:rsidRDefault="00C710DB" w:rsidP="00C710DB">
            <w:pPr>
              <w:rPr>
                <w:sz w:val="18"/>
              </w:rPr>
            </w:pPr>
            <w:r>
              <w:rPr>
                <w:sz w:val="18"/>
              </w:rPr>
              <w:t xml:space="preserve"> </w:t>
            </w:r>
            <w:r w:rsidRPr="00B100B2">
              <w:rPr>
                <w:b/>
                <w:sz w:val="18"/>
              </w:rPr>
              <w:t>Received</w:t>
            </w:r>
            <w:r>
              <w:rPr>
                <w:sz w:val="18"/>
              </w:rPr>
              <w:t xml:space="preserve">: </w:t>
            </w:r>
            <w:r w:rsidR="003614B0">
              <w:rPr>
                <w:sz w:val="18"/>
              </w:rPr>
              <w:t>01</w:t>
            </w:r>
            <w:r w:rsidR="003614B0" w:rsidRPr="003614B0">
              <w:rPr>
                <w:sz w:val="18"/>
                <w:vertAlign w:val="superscript"/>
              </w:rPr>
              <w:t>st</w:t>
            </w:r>
            <w:r w:rsidR="003614B0">
              <w:rPr>
                <w:sz w:val="18"/>
              </w:rPr>
              <w:t xml:space="preserve"> April</w:t>
            </w:r>
            <w:r>
              <w:rPr>
                <w:sz w:val="18"/>
              </w:rPr>
              <w:t>, 2024</w:t>
            </w:r>
          </w:p>
          <w:p w14:paraId="5C0A6A4D" w14:textId="1C43F265" w:rsidR="00C710DB" w:rsidRDefault="00C710DB" w:rsidP="00C710DB">
            <w:pPr>
              <w:rPr>
                <w:sz w:val="18"/>
              </w:rPr>
            </w:pPr>
            <w:r>
              <w:rPr>
                <w:sz w:val="18"/>
              </w:rPr>
              <w:t xml:space="preserve"> </w:t>
            </w:r>
            <w:r w:rsidRPr="00B100B2">
              <w:rPr>
                <w:b/>
                <w:sz w:val="18"/>
              </w:rPr>
              <w:t>Revi</w:t>
            </w:r>
            <w:r w:rsidR="00F77C2E" w:rsidRPr="00B100B2">
              <w:rPr>
                <w:b/>
                <w:sz w:val="18"/>
              </w:rPr>
              <w:t>ew</w:t>
            </w:r>
            <w:r w:rsidR="00A13E07">
              <w:rPr>
                <w:sz w:val="18"/>
              </w:rPr>
              <w:t xml:space="preserve"> </w:t>
            </w:r>
            <w:r w:rsidR="003745B9" w:rsidRPr="00B100B2">
              <w:rPr>
                <w:b/>
                <w:sz w:val="18"/>
              </w:rPr>
              <w:t>1</w:t>
            </w:r>
            <w:r w:rsidRPr="00C710DB">
              <w:rPr>
                <w:sz w:val="18"/>
              </w:rPr>
              <w:t xml:space="preserve">: </w:t>
            </w:r>
            <w:r w:rsidR="003614B0">
              <w:rPr>
                <w:sz w:val="18"/>
              </w:rPr>
              <w:t>03</w:t>
            </w:r>
            <w:r w:rsidR="003614B0" w:rsidRPr="003614B0">
              <w:rPr>
                <w:sz w:val="18"/>
                <w:vertAlign w:val="superscript"/>
              </w:rPr>
              <w:t>rd</w:t>
            </w:r>
            <w:r w:rsidR="003614B0">
              <w:rPr>
                <w:sz w:val="18"/>
              </w:rPr>
              <w:t xml:space="preserve"> April</w:t>
            </w:r>
            <w:r w:rsidRPr="00C710DB">
              <w:rPr>
                <w:sz w:val="18"/>
              </w:rPr>
              <w:t>, 2024</w:t>
            </w:r>
          </w:p>
          <w:p w14:paraId="169D0117" w14:textId="04F8BCB4" w:rsidR="00A13E07" w:rsidRDefault="00A13E07" w:rsidP="00C710DB">
            <w:pPr>
              <w:rPr>
                <w:sz w:val="18"/>
              </w:rPr>
            </w:pPr>
            <w:r>
              <w:rPr>
                <w:sz w:val="18"/>
              </w:rPr>
              <w:t xml:space="preserve"> </w:t>
            </w:r>
            <w:r w:rsidRPr="00B100B2">
              <w:rPr>
                <w:b/>
                <w:sz w:val="18"/>
              </w:rPr>
              <w:t>Review</w:t>
            </w:r>
            <w:r>
              <w:rPr>
                <w:sz w:val="18"/>
              </w:rPr>
              <w:t xml:space="preserve"> </w:t>
            </w:r>
            <w:r w:rsidRPr="00B100B2">
              <w:rPr>
                <w:b/>
                <w:sz w:val="18"/>
              </w:rPr>
              <w:t>2</w:t>
            </w:r>
            <w:r w:rsidRPr="00C710DB">
              <w:rPr>
                <w:sz w:val="18"/>
              </w:rPr>
              <w:t xml:space="preserve">: </w:t>
            </w:r>
            <w:r w:rsidR="003614B0">
              <w:rPr>
                <w:sz w:val="18"/>
              </w:rPr>
              <w:t>06</w:t>
            </w:r>
            <w:r w:rsidR="003614B0" w:rsidRPr="003614B0">
              <w:rPr>
                <w:sz w:val="18"/>
                <w:vertAlign w:val="superscript"/>
              </w:rPr>
              <w:t>th</w:t>
            </w:r>
            <w:r w:rsidR="003614B0">
              <w:rPr>
                <w:sz w:val="18"/>
              </w:rPr>
              <w:t xml:space="preserve"> April</w:t>
            </w:r>
            <w:r w:rsidRPr="00C710DB">
              <w:rPr>
                <w:sz w:val="18"/>
              </w:rPr>
              <w:t>, 2024</w:t>
            </w:r>
          </w:p>
          <w:p w14:paraId="203F7F29" w14:textId="2065E89D" w:rsidR="00C710DB" w:rsidRDefault="00C710DB" w:rsidP="001E1402">
            <w:pPr>
              <w:rPr>
                <w:sz w:val="18"/>
              </w:rPr>
            </w:pPr>
            <w:r w:rsidRPr="00C710DB">
              <w:rPr>
                <w:sz w:val="18"/>
              </w:rPr>
              <w:t xml:space="preserve"> </w:t>
            </w:r>
            <w:r w:rsidR="001E1402" w:rsidRPr="00B100B2">
              <w:rPr>
                <w:b/>
                <w:sz w:val="18"/>
              </w:rPr>
              <w:t>Published</w:t>
            </w:r>
            <w:r w:rsidRPr="00C710DB">
              <w:rPr>
                <w:sz w:val="18"/>
              </w:rPr>
              <w:t>:</w:t>
            </w:r>
            <w:r w:rsidR="00E277BF">
              <w:rPr>
                <w:sz w:val="18"/>
              </w:rPr>
              <w:t xml:space="preserve"> </w:t>
            </w:r>
            <w:r w:rsidR="003614B0">
              <w:rPr>
                <w:sz w:val="18"/>
              </w:rPr>
              <w:t>12</w:t>
            </w:r>
            <w:r w:rsidR="003614B0" w:rsidRPr="003614B0">
              <w:rPr>
                <w:sz w:val="18"/>
                <w:vertAlign w:val="superscript"/>
              </w:rPr>
              <w:t>th</w:t>
            </w:r>
            <w:r w:rsidR="003614B0">
              <w:rPr>
                <w:sz w:val="18"/>
              </w:rPr>
              <w:t xml:space="preserve"> </w:t>
            </w:r>
            <w:r w:rsidR="00CC1031">
              <w:rPr>
                <w:sz w:val="18"/>
              </w:rPr>
              <w:t>April</w:t>
            </w:r>
            <w:r w:rsidRPr="00C710DB">
              <w:rPr>
                <w:sz w:val="18"/>
              </w:rPr>
              <w:t>, 2024</w:t>
            </w:r>
          </w:p>
          <w:p w14:paraId="3EFE1D63" w14:textId="77777777" w:rsidR="00447EB3" w:rsidRDefault="00447EB3" w:rsidP="001E1402">
            <w:pPr>
              <w:rPr>
                <w:sz w:val="18"/>
              </w:rPr>
            </w:pPr>
          </w:p>
          <w:p w14:paraId="35BA4278" w14:textId="77777777" w:rsidR="00447EB3" w:rsidRDefault="00447EB3" w:rsidP="001E1402">
            <w:pPr>
              <w:rPr>
                <w:sz w:val="18"/>
              </w:rPr>
            </w:pPr>
          </w:p>
          <w:p w14:paraId="4594D7D3" w14:textId="77777777" w:rsidR="00447EB3" w:rsidRDefault="00447EB3" w:rsidP="001E1402">
            <w:pPr>
              <w:rPr>
                <w:sz w:val="18"/>
              </w:rPr>
            </w:pPr>
          </w:p>
          <w:p w14:paraId="7A289882" w14:textId="77777777" w:rsidR="00D34BE3" w:rsidRDefault="00D34BE3" w:rsidP="00507A5C">
            <w:pPr>
              <w:pStyle w:val="NormalWeb"/>
              <w:jc w:val="center"/>
            </w:pPr>
            <w:r>
              <w:rPr>
                <w:noProof/>
                <w:lang w:val="en-US" w:eastAsia="en-US"/>
              </w:rPr>
              <w:drawing>
                <wp:inline distT="0" distB="0" distL="0" distR="0" wp14:anchorId="220A38F0" wp14:editId="5B044C70">
                  <wp:extent cx="977762" cy="977762"/>
                  <wp:effectExtent l="0" t="0" r="0" b="0"/>
                  <wp:docPr id="23" name="Picture 23" descr="C:\Users\user\AppData\Local\Packages\Microsoft.Windows.Photos_8wekyb3d8bbwe\TempState\ShareServiceTempFolder\qrcod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Packages\Microsoft.Windows.Photos_8wekyb3d8bbwe\TempState\ShareServiceTempFolder\qrcode.jpe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95807" cy="995807"/>
                          </a:xfrm>
                          <a:prstGeom prst="rect">
                            <a:avLst/>
                          </a:prstGeom>
                          <a:noFill/>
                          <a:ln>
                            <a:noFill/>
                          </a:ln>
                        </pic:spPr>
                      </pic:pic>
                    </a:graphicData>
                  </a:graphic>
                </wp:inline>
              </w:drawing>
            </w:r>
          </w:p>
          <w:p w14:paraId="026FB1C9" w14:textId="77777777" w:rsidR="00447EB3" w:rsidRDefault="00447EB3" w:rsidP="001E1402">
            <w:pPr>
              <w:rPr>
                <w:rFonts w:asciiTheme="majorBidi" w:hAnsiTheme="majorBidi" w:cstheme="majorBidi"/>
                <w:b/>
                <w:sz w:val="24"/>
                <w:szCs w:val="24"/>
              </w:rPr>
            </w:pPr>
          </w:p>
        </w:tc>
        <w:tc>
          <w:tcPr>
            <w:tcW w:w="7185" w:type="dxa"/>
            <w:tcBorders>
              <w:bottom w:val="single" w:sz="24" w:space="0" w:color="E36C0A" w:themeColor="accent6" w:themeShade="BF"/>
            </w:tcBorders>
          </w:tcPr>
          <w:p w14:paraId="1204178E" w14:textId="77777777" w:rsidR="00C710DB" w:rsidRPr="008349FE" w:rsidRDefault="00C710DB" w:rsidP="00424CC5">
            <w:pPr>
              <w:jc w:val="both"/>
              <w:rPr>
                <w:rFonts w:asciiTheme="majorBidi" w:hAnsiTheme="majorBidi" w:cstheme="majorBidi"/>
                <w:b/>
                <w:sz w:val="24"/>
                <w:szCs w:val="24"/>
              </w:rPr>
            </w:pPr>
            <w:r w:rsidRPr="008349FE">
              <w:rPr>
                <w:rFonts w:asciiTheme="majorBidi" w:hAnsiTheme="majorBidi" w:cstheme="majorBidi"/>
                <w:b/>
                <w:sz w:val="24"/>
                <w:szCs w:val="24"/>
              </w:rPr>
              <w:t>Abstract</w:t>
            </w:r>
          </w:p>
          <w:p w14:paraId="57EB492E" w14:textId="1AD41DF7" w:rsidR="00C710DB" w:rsidRPr="008349FE" w:rsidRDefault="00D632A2" w:rsidP="00C710DB">
            <w:pPr>
              <w:ind w:left="720"/>
              <w:jc w:val="both"/>
              <w:rPr>
                <w:rFonts w:asciiTheme="majorBidi" w:hAnsiTheme="majorBidi" w:cstheme="majorBidi"/>
                <w:i/>
                <w:sz w:val="24"/>
                <w:szCs w:val="24"/>
              </w:rPr>
            </w:pPr>
            <w:r w:rsidRPr="00D632A2">
              <w:rPr>
                <w:rFonts w:asciiTheme="majorBidi" w:hAnsiTheme="majorBidi" w:cstheme="majorBidi"/>
                <w:i/>
                <w:sz w:val="24"/>
                <w:szCs w:val="24"/>
              </w:rPr>
              <w:t>Health disparities among minority groups are a pressing public health issue characterized by significant differences in health outcomes and access to healthcare services. This article explores the multifaceted causes of these disparities, including socioeconomic factors, systemic racism, cultural barriers, and lack of access to quality healthcare. It also examines potential solutions, such as policy reforms, community engagement, and culturally competent healthcare practices, aimed at reducing these disparities. By addressing the underlying determinants of health, stakeholders can work towards achieving health equity for all individuals, irrespective of their racial or ethnic backgrounds</w:t>
            </w:r>
          </w:p>
          <w:p w14:paraId="786353E2" w14:textId="77777777" w:rsidR="00C710DB" w:rsidRDefault="00C710DB" w:rsidP="00D52D23">
            <w:pPr>
              <w:jc w:val="both"/>
              <w:rPr>
                <w:rFonts w:asciiTheme="majorBidi" w:hAnsiTheme="majorBidi" w:cstheme="majorBidi"/>
                <w:b/>
                <w:sz w:val="24"/>
                <w:szCs w:val="24"/>
              </w:rPr>
            </w:pPr>
          </w:p>
        </w:tc>
      </w:tr>
      <w:tr w:rsidR="00C710DB" w14:paraId="22C67C36" w14:textId="77777777" w:rsidTr="00424CC5">
        <w:trPr>
          <w:trHeight w:val="1500"/>
        </w:trPr>
        <w:tc>
          <w:tcPr>
            <w:tcW w:w="2977" w:type="dxa"/>
          </w:tcPr>
          <w:p w14:paraId="33CCDBBF" w14:textId="77777777" w:rsidR="00C710DB" w:rsidRDefault="00A2208A" w:rsidP="00D52D23">
            <w:pPr>
              <w:jc w:val="both"/>
              <w:rPr>
                <w:rFonts w:asciiTheme="majorBidi" w:hAnsiTheme="majorBidi" w:cstheme="majorBidi"/>
                <w:b/>
                <w:sz w:val="24"/>
                <w:szCs w:val="24"/>
              </w:rPr>
            </w:pPr>
            <w:r>
              <w:rPr>
                <w:noProof/>
                <w:lang w:val="en-GB" w:eastAsia="en-GB"/>
              </w:rPr>
              <w:t xml:space="preserve"> </w:t>
            </w:r>
            <w:r w:rsidRPr="00A2208A">
              <w:rPr>
                <w:rFonts w:asciiTheme="majorBidi" w:hAnsiTheme="majorBidi" w:cstheme="majorBidi"/>
                <w:b/>
                <w:noProof/>
                <w:sz w:val="24"/>
                <w:szCs w:val="24"/>
              </w:rPr>
              <w:drawing>
                <wp:inline distT="0" distB="0" distL="0" distR="0" wp14:anchorId="42CCE129" wp14:editId="48E6CCD1">
                  <wp:extent cx="624496" cy="241402"/>
                  <wp:effectExtent l="0" t="0" r="4445"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61037" cy="255527"/>
                          </a:xfrm>
                          <a:prstGeom prst="rect">
                            <a:avLst/>
                          </a:prstGeom>
                        </pic:spPr>
                      </pic:pic>
                    </a:graphicData>
                  </a:graphic>
                </wp:inline>
              </w:drawing>
            </w:r>
          </w:p>
          <w:p w14:paraId="5517018E" w14:textId="77777777" w:rsidR="00424CC5" w:rsidRDefault="00A2208A" w:rsidP="00A2208A">
            <w:pPr>
              <w:rPr>
                <w:rFonts w:ascii="Arial" w:eastAsia="Times New Roman" w:hAnsi="Arial" w:cs="Arial"/>
                <w:sz w:val="16"/>
                <w:szCs w:val="23"/>
                <w:lang w:val="en-GB" w:eastAsia="en-GB"/>
              </w:rPr>
            </w:pPr>
            <w:r w:rsidRPr="00A2208A">
              <w:rPr>
                <w:rFonts w:ascii="Arial" w:eastAsia="Times New Roman" w:hAnsi="Arial" w:cs="Arial"/>
                <w:sz w:val="16"/>
                <w:szCs w:val="23"/>
                <w:lang w:val="en-GB" w:eastAsia="en-GB"/>
              </w:rPr>
              <w:t>This article is an open access article distributed   under   the   terms   and conditions of the Creative Commons Attribution (CC BY) license</w:t>
            </w:r>
          </w:p>
          <w:p w14:paraId="6EA39640" w14:textId="77777777" w:rsidR="00A2208A" w:rsidRPr="00A2208A" w:rsidRDefault="00A2208A" w:rsidP="00A2208A">
            <w:pPr>
              <w:rPr>
                <w:rFonts w:ascii="Times New Roman" w:eastAsia="Times New Roman" w:hAnsi="Times New Roman" w:cs="Times New Roman"/>
                <w:sz w:val="18"/>
                <w:szCs w:val="24"/>
                <w:lang w:val="en-GB" w:eastAsia="en-GB"/>
              </w:rPr>
            </w:pPr>
            <w:r w:rsidRPr="00A2208A">
              <w:rPr>
                <w:rFonts w:ascii="Arial" w:eastAsia="Times New Roman" w:hAnsi="Arial" w:cs="Arial"/>
                <w:sz w:val="14"/>
                <w:szCs w:val="20"/>
                <w:lang w:val="en-GB" w:eastAsia="en-GB"/>
              </w:rPr>
              <w:t>https://creativecommons.org/licenses/by/4.0</w:t>
            </w:r>
          </w:p>
          <w:p w14:paraId="14C80426" w14:textId="77777777" w:rsidR="00A2208A" w:rsidRDefault="00A2208A" w:rsidP="00D52D23">
            <w:pPr>
              <w:jc w:val="both"/>
              <w:rPr>
                <w:rFonts w:asciiTheme="majorBidi" w:hAnsiTheme="majorBidi" w:cstheme="majorBidi"/>
                <w:b/>
                <w:sz w:val="24"/>
                <w:szCs w:val="24"/>
              </w:rPr>
            </w:pPr>
          </w:p>
        </w:tc>
        <w:tc>
          <w:tcPr>
            <w:tcW w:w="7185" w:type="dxa"/>
            <w:tcBorders>
              <w:top w:val="single" w:sz="24" w:space="0" w:color="E36C0A" w:themeColor="accent6" w:themeShade="BF"/>
            </w:tcBorders>
          </w:tcPr>
          <w:p w14:paraId="5853D2B0" w14:textId="53030861" w:rsidR="00C710DB" w:rsidRPr="003F20BC" w:rsidRDefault="00C710DB" w:rsidP="003F20BC">
            <w:pPr>
              <w:jc w:val="both"/>
              <w:rPr>
                <w:rFonts w:asciiTheme="majorBidi" w:hAnsiTheme="majorBidi" w:cstheme="majorBidi"/>
                <w:i/>
                <w:sz w:val="24"/>
                <w:szCs w:val="24"/>
              </w:rPr>
            </w:pPr>
            <w:r w:rsidRPr="00A03CF1">
              <w:rPr>
                <w:rFonts w:asciiTheme="majorBidi" w:hAnsiTheme="majorBidi" w:cstheme="majorBidi"/>
                <w:b/>
                <w:sz w:val="24"/>
                <w:szCs w:val="24"/>
              </w:rPr>
              <w:t>Keywords:</w:t>
            </w:r>
            <w:r w:rsidRPr="00EE51C4">
              <w:rPr>
                <w:rFonts w:asciiTheme="majorBidi" w:hAnsiTheme="majorBidi" w:cstheme="majorBidi"/>
                <w:sz w:val="24"/>
                <w:szCs w:val="24"/>
              </w:rPr>
              <w:t xml:space="preserve"> </w:t>
            </w:r>
            <w:r w:rsidR="00D632A2" w:rsidRPr="00D632A2">
              <w:rPr>
                <w:rFonts w:asciiTheme="majorBidi" w:hAnsiTheme="majorBidi" w:cstheme="majorBidi"/>
                <w:i/>
                <w:sz w:val="24"/>
                <w:szCs w:val="24"/>
              </w:rPr>
              <w:t>Health disparities, minority groups, socioeconomic factors, systemic racism, cultural competence, health equity, public health, healthcare access</w:t>
            </w:r>
          </w:p>
        </w:tc>
      </w:tr>
    </w:tbl>
    <w:p w14:paraId="3397E807" w14:textId="77777777" w:rsidR="00C710DB" w:rsidRDefault="00C710DB" w:rsidP="00D52D23">
      <w:pPr>
        <w:pBdr>
          <w:top w:val="single" w:sz="24" w:space="1" w:color="E36C0A" w:themeColor="accent6" w:themeShade="BF"/>
        </w:pBdr>
        <w:jc w:val="both"/>
        <w:rPr>
          <w:rFonts w:asciiTheme="majorBidi" w:hAnsiTheme="majorBidi" w:cstheme="majorBidi"/>
          <w:b/>
          <w:sz w:val="24"/>
          <w:szCs w:val="24"/>
        </w:rPr>
      </w:pPr>
    </w:p>
    <w:p w14:paraId="65AD2829" w14:textId="77777777" w:rsidR="00447EB3" w:rsidRDefault="00447EB3">
      <w:pPr>
        <w:rPr>
          <w:rFonts w:asciiTheme="majorBidi" w:hAnsiTheme="majorBidi" w:cstheme="majorBidi"/>
          <w:b/>
          <w:sz w:val="24"/>
          <w:szCs w:val="24"/>
        </w:rPr>
      </w:pPr>
      <w:r>
        <w:rPr>
          <w:rFonts w:asciiTheme="majorBidi" w:hAnsiTheme="majorBidi" w:cstheme="majorBidi"/>
          <w:b/>
          <w:sz w:val="24"/>
          <w:szCs w:val="24"/>
        </w:rPr>
        <w:br w:type="page"/>
      </w:r>
    </w:p>
    <w:p w14:paraId="3EEAA202" w14:textId="77777777" w:rsidR="00447EB3" w:rsidRDefault="00447EB3" w:rsidP="00EE51C4">
      <w:pPr>
        <w:jc w:val="both"/>
        <w:rPr>
          <w:rFonts w:asciiTheme="majorBidi" w:hAnsiTheme="majorBidi" w:cstheme="majorBidi"/>
          <w:b/>
          <w:sz w:val="24"/>
          <w:szCs w:val="24"/>
        </w:rPr>
        <w:sectPr w:rsidR="00447EB3" w:rsidSect="00112B00">
          <w:headerReference w:type="even" r:id="rId15"/>
          <w:headerReference w:type="default" r:id="rId16"/>
          <w:footerReference w:type="even" r:id="rId17"/>
          <w:footerReference w:type="default" r:id="rId18"/>
          <w:headerReference w:type="first" r:id="rId19"/>
          <w:footerReference w:type="first" r:id="rId20"/>
          <w:pgSz w:w="12240" w:h="15840" w:code="1"/>
          <w:pgMar w:top="0" w:right="1080" w:bottom="1440" w:left="1080" w:header="17" w:footer="720" w:gutter="0"/>
          <w:cols w:space="720"/>
          <w:titlePg/>
          <w:docGrid w:linePitch="360"/>
        </w:sectPr>
      </w:pPr>
    </w:p>
    <w:p w14:paraId="4A55FCE5" w14:textId="77777777" w:rsidR="00EE51C4" w:rsidRPr="008349FE" w:rsidRDefault="00EE51C4" w:rsidP="00EE51C4">
      <w:pPr>
        <w:jc w:val="both"/>
        <w:rPr>
          <w:rFonts w:asciiTheme="majorBidi" w:hAnsiTheme="majorBidi" w:cstheme="majorBidi"/>
          <w:b/>
          <w:sz w:val="24"/>
          <w:szCs w:val="24"/>
        </w:rPr>
      </w:pPr>
      <w:r w:rsidRPr="00A03CF1">
        <w:rPr>
          <w:rFonts w:asciiTheme="majorBidi" w:hAnsiTheme="majorBidi" w:cstheme="majorBidi"/>
          <w:b/>
          <w:sz w:val="24"/>
          <w:szCs w:val="24"/>
        </w:rPr>
        <w:lastRenderedPageBreak/>
        <w:t>Introduction</w:t>
      </w:r>
    </w:p>
    <w:p w14:paraId="7DE0F172" w14:textId="77777777" w:rsidR="00D632A2" w:rsidRPr="00D632A2" w:rsidRDefault="00D632A2" w:rsidP="00D632A2">
      <w:pPr>
        <w:jc w:val="both"/>
        <w:rPr>
          <w:rFonts w:asciiTheme="majorBidi" w:hAnsiTheme="majorBidi" w:cstheme="majorBidi"/>
          <w:sz w:val="24"/>
          <w:szCs w:val="24"/>
        </w:rPr>
      </w:pPr>
      <w:r w:rsidRPr="00D632A2">
        <w:rPr>
          <w:rFonts w:asciiTheme="majorBidi" w:hAnsiTheme="majorBidi" w:cstheme="majorBidi"/>
          <w:sz w:val="24"/>
          <w:szCs w:val="24"/>
        </w:rPr>
        <w:t>Health disparities refer to the differences in health outcomes and healthcare access experienced by different population groups, often influenced by social, economic, and environmental factors. Minority groups, including racial and ethnic minorities, frequently face significant health disparities, leading to poorer health outcomes compared to their majority counterparts. These disparities are not merely a result of individual choices or biological differences but are deeply rooted in systemic issues that perpetuate inequality in healthcare. Understanding the causes of these disparities is crucial for developing effective interventions and policies that promote health equity.</w:t>
      </w:r>
    </w:p>
    <w:p w14:paraId="399BA145" w14:textId="77777777" w:rsidR="00D632A2" w:rsidRPr="00D632A2" w:rsidRDefault="00D632A2" w:rsidP="00D632A2">
      <w:pPr>
        <w:jc w:val="both"/>
        <w:rPr>
          <w:rFonts w:asciiTheme="majorBidi" w:hAnsiTheme="majorBidi" w:cstheme="majorBidi"/>
          <w:sz w:val="24"/>
          <w:szCs w:val="24"/>
        </w:rPr>
      </w:pPr>
      <w:r w:rsidRPr="00D632A2">
        <w:rPr>
          <w:rFonts w:asciiTheme="majorBidi" w:hAnsiTheme="majorBidi" w:cstheme="majorBidi"/>
          <w:sz w:val="24"/>
          <w:szCs w:val="24"/>
        </w:rPr>
        <w:t>Causes of Health Disparities</w:t>
      </w:r>
    </w:p>
    <w:p w14:paraId="2286A6DD" w14:textId="77777777" w:rsidR="00D632A2" w:rsidRPr="00D632A2" w:rsidRDefault="00D632A2" w:rsidP="00D632A2">
      <w:pPr>
        <w:jc w:val="both"/>
        <w:rPr>
          <w:rFonts w:asciiTheme="majorBidi" w:hAnsiTheme="majorBidi" w:cstheme="majorBidi"/>
          <w:sz w:val="24"/>
          <w:szCs w:val="24"/>
        </w:rPr>
      </w:pPr>
      <w:r w:rsidRPr="00D632A2">
        <w:rPr>
          <w:rFonts w:asciiTheme="majorBidi" w:hAnsiTheme="majorBidi" w:cstheme="majorBidi"/>
          <w:sz w:val="24"/>
          <w:szCs w:val="24"/>
        </w:rPr>
        <w:t>Health disparities, defined as differences in health outcomes and their determinants between segments of the population, are influenced by a complex interplay of various factors. Among the most significant are socioeconomic factors, systemic racism, cultural barriers, and access to healthcare. Each of these categories contributes to the persistence of health inequalities in diverse populations.</w:t>
      </w:r>
    </w:p>
    <w:p w14:paraId="22BC3B1D" w14:textId="77777777" w:rsidR="00D632A2" w:rsidRPr="00D632A2" w:rsidRDefault="00D632A2" w:rsidP="00D632A2">
      <w:pPr>
        <w:jc w:val="both"/>
        <w:rPr>
          <w:rFonts w:asciiTheme="majorBidi" w:hAnsiTheme="majorBidi" w:cstheme="majorBidi"/>
          <w:sz w:val="24"/>
          <w:szCs w:val="24"/>
        </w:rPr>
      </w:pPr>
      <w:r w:rsidRPr="00D632A2">
        <w:rPr>
          <w:rFonts w:asciiTheme="majorBidi" w:hAnsiTheme="majorBidi" w:cstheme="majorBidi"/>
          <w:sz w:val="24"/>
          <w:szCs w:val="24"/>
        </w:rPr>
        <w:t>Socioeconomic Factors</w:t>
      </w:r>
    </w:p>
    <w:p w14:paraId="2A347E4F" w14:textId="77777777" w:rsidR="00D632A2" w:rsidRPr="00D632A2" w:rsidRDefault="00D632A2" w:rsidP="00D632A2">
      <w:pPr>
        <w:jc w:val="both"/>
        <w:rPr>
          <w:rFonts w:asciiTheme="majorBidi" w:hAnsiTheme="majorBidi" w:cstheme="majorBidi"/>
          <w:sz w:val="24"/>
          <w:szCs w:val="24"/>
        </w:rPr>
      </w:pPr>
      <w:r w:rsidRPr="00D632A2">
        <w:rPr>
          <w:rFonts w:asciiTheme="majorBidi" w:hAnsiTheme="majorBidi" w:cstheme="majorBidi"/>
          <w:sz w:val="24"/>
          <w:szCs w:val="24"/>
        </w:rPr>
        <w:t xml:space="preserve">Socioeconomic factors play a critical role in determining health outcomes. Income inequality is a prominent contributor to health disparities; individuals with lower incomes often experience poorer health due to limited access to nutritious food, safe housing, and healthcare services (Marmot et al., 2008). The social determinants of health framework highlights how economic instability not only affects physical wellbeing but also impacts mental health, leading to chronic stress that further exacerbates health </w:t>
      </w:r>
      <w:r w:rsidRPr="00D632A2">
        <w:rPr>
          <w:rFonts w:asciiTheme="majorBidi" w:hAnsiTheme="majorBidi" w:cstheme="majorBidi"/>
          <w:sz w:val="24"/>
          <w:szCs w:val="24"/>
        </w:rPr>
        <w:t>issues (Braveman et al., 2011). Additionally, education and health literacy are essential components of health equity. Those with lower levels of education tend to have reduced health literacy, which hinders their ability to make informed decisions about their health and navigate the healthcare system effectively (Baker, 2006). As a result, individuals with less education are more likely to engage in unhealthy behaviors and less likely to seek preventive care, leading to worse health outcomes.</w:t>
      </w:r>
    </w:p>
    <w:p w14:paraId="3ADE6E12" w14:textId="77777777" w:rsidR="00D632A2" w:rsidRPr="00D632A2" w:rsidRDefault="00D632A2" w:rsidP="00D632A2">
      <w:pPr>
        <w:jc w:val="both"/>
        <w:rPr>
          <w:rFonts w:asciiTheme="majorBidi" w:hAnsiTheme="majorBidi" w:cstheme="majorBidi"/>
          <w:sz w:val="24"/>
          <w:szCs w:val="24"/>
        </w:rPr>
      </w:pPr>
      <w:r w:rsidRPr="00D632A2">
        <w:rPr>
          <w:rFonts w:asciiTheme="majorBidi" w:hAnsiTheme="majorBidi" w:cstheme="majorBidi"/>
          <w:sz w:val="24"/>
          <w:szCs w:val="24"/>
        </w:rPr>
        <w:t>Systemic Racism</w:t>
      </w:r>
    </w:p>
    <w:p w14:paraId="02318C6C" w14:textId="77777777" w:rsidR="00D632A2" w:rsidRPr="00D632A2" w:rsidRDefault="00D632A2" w:rsidP="00D632A2">
      <w:pPr>
        <w:jc w:val="both"/>
        <w:rPr>
          <w:rFonts w:asciiTheme="majorBidi" w:hAnsiTheme="majorBidi" w:cstheme="majorBidi"/>
          <w:sz w:val="24"/>
          <w:szCs w:val="24"/>
        </w:rPr>
      </w:pPr>
      <w:r w:rsidRPr="00D632A2">
        <w:rPr>
          <w:rFonts w:asciiTheme="majorBidi" w:hAnsiTheme="majorBidi" w:cstheme="majorBidi"/>
          <w:sz w:val="24"/>
          <w:szCs w:val="24"/>
        </w:rPr>
        <w:t>Systemic racism significantly contributes to health disparities through institutional discrimination in healthcare settings. Studies show that racial and ethnic minorities often receive lowerquality healthcare compared to their white counterparts, even when factors such as income and insurance coverage are controlled (Smedley et al., 2003). This institutional discrimination manifests in various ways, including biases in clinical decision making and a lack of culturally competent care. Moreover, the historical context of healthcare inequalities underscores the longstanding impact of racism on health outcomes. Historical injustices, such as the Tuskegee Syphilis Study, have created mistrust among minority communities toward the healthcare system, further deterring them from seeking necessary medical care (Gamble, 1997). These historical factors perpetuate a cycle of disadvantage that continues to affect the health of marginalized groups today.</w:t>
      </w:r>
    </w:p>
    <w:p w14:paraId="41E4C395" w14:textId="77777777" w:rsidR="00D632A2" w:rsidRPr="00D632A2" w:rsidRDefault="00D632A2" w:rsidP="00D632A2">
      <w:pPr>
        <w:jc w:val="both"/>
        <w:rPr>
          <w:rFonts w:asciiTheme="majorBidi" w:hAnsiTheme="majorBidi" w:cstheme="majorBidi"/>
          <w:sz w:val="24"/>
          <w:szCs w:val="24"/>
        </w:rPr>
      </w:pPr>
      <w:r w:rsidRPr="00D632A2">
        <w:rPr>
          <w:rFonts w:asciiTheme="majorBidi" w:hAnsiTheme="majorBidi" w:cstheme="majorBidi"/>
          <w:sz w:val="24"/>
          <w:szCs w:val="24"/>
        </w:rPr>
        <w:t>Cultural Barriers</w:t>
      </w:r>
    </w:p>
    <w:p w14:paraId="002FF564" w14:textId="77777777" w:rsidR="00D632A2" w:rsidRPr="00D632A2" w:rsidRDefault="00D632A2" w:rsidP="00D632A2">
      <w:pPr>
        <w:jc w:val="both"/>
        <w:rPr>
          <w:rFonts w:asciiTheme="majorBidi" w:hAnsiTheme="majorBidi" w:cstheme="majorBidi"/>
          <w:sz w:val="24"/>
          <w:szCs w:val="24"/>
        </w:rPr>
      </w:pPr>
      <w:r w:rsidRPr="00D632A2">
        <w:rPr>
          <w:rFonts w:asciiTheme="majorBidi" w:hAnsiTheme="majorBidi" w:cstheme="majorBidi"/>
          <w:sz w:val="24"/>
          <w:szCs w:val="24"/>
        </w:rPr>
        <w:t xml:space="preserve">Cultural barriers also play a significant role in health disparities. Language differences can create significant obstacles to accessing healthcare services, leading to miscommunication between patients and </w:t>
      </w:r>
      <w:r w:rsidRPr="00D632A2">
        <w:rPr>
          <w:rFonts w:asciiTheme="majorBidi" w:hAnsiTheme="majorBidi" w:cstheme="majorBidi"/>
          <w:sz w:val="24"/>
          <w:szCs w:val="24"/>
        </w:rPr>
        <w:lastRenderedPageBreak/>
        <w:t>providers (Flores, 2006). Limited English proficiency can hinder individuals' ability to understand medical advice, follow treatment plans, and navigate health services, ultimately resulting in poorer health outcomes. Additionally, cultural beliefs and practices can influence healthcare utilization. For example, some cultural groups may prefer traditional healing methods over conventional medical treatments, leading to underutilization of available healthcare services (Kleinman et al., 1978). These cultural factors can create disparities in treatment adherence and overall health, as individuals may not fully engage with healthcare systems that do not align with their cultural norms.</w:t>
      </w:r>
    </w:p>
    <w:p w14:paraId="4AE5A1AB" w14:textId="77777777" w:rsidR="00D632A2" w:rsidRPr="00D632A2" w:rsidRDefault="00D632A2" w:rsidP="00D632A2">
      <w:pPr>
        <w:jc w:val="both"/>
        <w:rPr>
          <w:rFonts w:asciiTheme="majorBidi" w:hAnsiTheme="majorBidi" w:cstheme="majorBidi"/>
          <w:sz w:val="24"/>
          <w:szCs w:val="24"/>
        </w:rPr>
      </w:pPr>
      <w:r w:rsidRPr="00D632A2">
        <w:rPr>
          <w:rFonts w:asciiTheme="majorBidi" w:hAnsiTheme="majorBidi" w:cstheme="majorBidi"/>
          <w:sz w:val="24"/>
          <w:szCs w:val="24"/>
        </w:rPr>
        <w:t>Access to Healthcare</w:t>
      </w:r>
    </w:p>
    <w:p w14:paraId="6677FAA2" w14:textId="77777777" w:rsidR="00D632A2" w:rsidRPr="00D632A2" w:rsidRDefault="00D632A2" w:rsidP="00D632A2">
      <w:pPr>
        <w:jc w:val="both"/>
        <w:rPr>
          <w:rFonts w:asciiTheme="majorBidi" w:hAnsiTheme="majorBidi" w:cstheme="majorBidi"/>
          <w:sz w:val="24"/>
          <w:szCs w:val="24"/>
        </w:rPr>
      </w:pPr>
      <w:r w:rsidRPr="00D632A2">
        <w:rPr>
          <w:rFonts w:asciiTheme="majorBidi" w:hAnsiTheme="majorBidi" w:cstheme="majorBidi"/>
          <w:sz w:val="24"/>
          <w:szCs w:val="24"/>
        </w:rPr>
        <w:t>Access to healthcare is a critical determinant of health disparities, often dictated by geographic and economic factors. Geographic disparities in healthcare availability can lead to significant differences in health outcomes, particularly in rural areas where healthcare facilities may be sparse (Kirkwood et al., 2019). These geographic barriers can limit access to essential services such as preventive care and chronic disease management, exacerbating health inequalities. Furthermore, insurance coverage and affordability are crucial factors influencing access to healthcare. Individuals without insurance or those with high outofpocket costs are less likely to seek medical care, resulting in delayed diagnoses and worse health outcomes (Hadley, 2003). Disparities in insurance coverage can disproportionately affect lowincome individuals and racial minorities, further entrenching existing health inequalities.</w:t>
      </w:r>
    </w:p>
    <w:p w14:paraId="23D6F517" w14:textId="77777777" w:rsidR="00D632A2" w:rsidRPr="00D632A2" w:rsidRDefault="00D632A2" w:rsidP="00D632A2">
      <w:pPr>
        <w:jc w:val="both"/>
        <w:rPr>
          <w:rFonts w:asciiTheme="majorBidi" w:hAnsiTheme="majorBidi" w:cstheme="majorBidi"/>
          <w:sz w:val="24"/>
          <w:szCs w:val="24"/>
        </w:rPr>
      </w:pPr>
      <w:r w:rsidRPr="00D632A2">
        <w:rPr>
          <w:rFonts w:asciiTheme="majorBidi" w:hAnsiTheme="majorBidi" w:cstheme="majorBidi"/>
          <w:sz w:val="24"/>
          <w:szCs w:val="24"/>
        </w:rPr>
        <w:t xml:space="preserve">Health disparities arise from a multitude of interconnected causes, including socioeconomic factors, systemic racism, cultural barriers, and </w:t>
      </w:r>
      <w:r w:rsidRPr="00D632A2">
        <w:rPr>
          <w:rFonts w:asciiTheme="majorBidi" w:hAnsiTheme="majorBidi" w:cstheme="majorBidi"/>
          <w:sz w:val="24"/>
          <w:szCs w:val="24"/>
        </w:rPr>
        <w:t>access to healthcare. Addressing these disparities requires a comprehensive approach that considers the complex interplay of these elements. Policymakers, healthcare providers, and community organizations must work collaboratively to implement strategies that promote health equity and ensure that all individuals have the opportunity to achieve optimal health.</w:t>
      </w:r>
    </w:p>
    <w:p w14:paraId="08853DD7" w14:textId="77777777" w:rsidR="00D632A2" w:rsidRPr="00D632A2" w:rsidRDefault="00D632A2" w:rsidP="00D632A2">
      <w:pPr>
        <w:jc w:val="both"/>
        <w:rPr>
          <w:rFonts w:asciiTheme="majorBidi" w:hAnsiTheme="majorBidi" w:cstheme="majorBidi"/>
          <w:sz w:val="24"/>
          <w:szCs w:val="24"/>
        </w:rPr>
      </w:pPr>
      <w:r w:rsidRPr="00D632A2">
        <w:rPr>
          <w:rFonts w:asciiTheme="majorBidi" w:hAnsiTheme="majorBidi" w:cstheme="majorBidi"/>
          <w:sz w:val="24"/>
          <w:szCs w:val="24"/>
        </w:rPr>
        <w:t>Consequences of Health Disparities</w:t>
      </w:r>
    </w:p>
    <w:p w14:paraId="7AA20358" w14:textId="77777777" w:rsidR="00D632A2" w:rsidRPr="00D632A2" w:rsidRDefault="00D632A2" w:rsidP="00D632A2">
      <w:pPr>
        <w:jc w:val="both"/>
        <w:rPr>
          <w:rFonts w:asciiTheme="majorBidi" w:hAnsiTheme="majorBidi" w:cstheme="majorBidi"/>
          <w:sz w:val="24"/>
          <w:szCs w:val="24"/>
        </w:rPr>
      </w:pPr>
      <w:r w:rsidRPr="00D632A2">
        <w:rPr>
          <w:rFonts w:asciiTheme="majorBidi" w:hAnsiTheme="majorBidi" w:cstheme="majorBidi"/>
          <w:sz w:val="24"/>
          <w:szCs w:val="24"/>
        </w:rPr>
        <w:t>Health disparities represent significant differences in health outcomes among various population groups, particularly among racial and ethnic minorities. These disparities arise from a complex interplay of social determinants of health, including socioeconomic status, education, and access to healthcare services (Williams &amp; Mohammed, 2009). The impact on minority communities is profound; individuals from these groups often experience higher rates of chronic diseases, such as diabetes and hypertension, and have less access to preventive care and treatment options. Consequently, these disparities perpetuate cycles of poor health and social inequity, leading to increased morbidity and mortality rates among marginalized populations (LaVeist, 2011).</w:t>
      </w:r>
    </w:p>
    <w:p w14:paraId="3467478C" w14:textId="77777777" w:rsidR="00D632A2" w:rsidRPr="00D632A2" w:rsidRDefault="00D632A2" w:rsidP="00D632A2">
      <w:pPr>
        <w:jc w:val="both"/>
        <w:rPr>
          <w:rFonts w:asciiTheme="majorBidi" w:hAnsiTheme="majorBidi" w:cstheme="majorBidi"/>
          <w:sz w:val="24"/>
          <w:szCs w:val="24"/>
        </w:rPr>
      </w:pPr>
      <w:r w:rsidRPr="00D632A2">
        <w:rPr>
          <w:rFonts w:asciiTheme="majorBidi" w:hAnsiTheme="majorBidi" w:cstheme="majorBidi"/>
          <w:sz w:val="24"/>
          <w:szCs w:val="24"/>
        </w:rPr>
        <w:t xml:space="preserve">The long term health outcomes associated with health disparities are equally concerning. Research shows that the accumulation of adverse health conditions over time can lead to diminished quality of life and increased healthcare needs for minority communities (Braveman et al., 2011). For instance, children growing up in lowincome, minority households are more likely to suffer from health issues that persist into adulthood, including obesity and mental health disorders (Singh &amp; Siahpush, 2014). These outcomes not only affect individual wellbeing but also contribute to a </w:t>
      </w:r>
      <w:r w:rsidRPr="00D632A2">
        <w:rPr>
          <w:rFonts w:asciiTheme="majorBidi" w:hAnsiTheme="majorBidi" w:cstheme="majorBidi"/>
          <w:sz w:val="24"/>
          <w:szCs w:val="24"/>
        </w:rPr>
        <w:lastRenderedPageBreak/>
        <w:t>higher burden on public health systems, which are often illequipped to address the specific needs of these populations (Browning &amp; Cagney, 2002).</w:t>
      </w:r>
    </w:p>
    <w:p w14:paraId="79309402" w14:textId="77777777" w:rsidR="00D632A2" w:rsidRPr="00D632A2" w:rsidRDefault="00D632A2" w:rsidP="00D632A2">
      <w:pPr>
        <w:jc w:val="both"/>
        <w:rPr>
          <w:rFonts w:asciiTheme="majorBidi" w:hAnsiTheme="majorBidi" w:cstheme="majorBidi"/>
          <w:sz w:val="24"/>
          <w:szCs w:val="24"/>
        </w:rPr>
      </w:pPr>
      <w:r w:rsidRPr="00D632A2">
        <w:rPr>
          <w:rFonts w:asciiTheme="majorBidi" w:hAnsiTheme="majorBidi" w:cstheme="majorBidi"/>
          <w:sz w:val="24"/>
          <w:szCs w:val="24"/>
        </w:rPr>
        <w:t>Economic implications of health disparities extend beyond the immediate healthcare costs incurred by individuals and families. The burden of disease among minority populations results in significant economic losses at both individual and community levels. Higher healthcare expenditures due to preventable diseases and conditions translate into increased insurance premiums and taxes for the broader population (Baser et al., 2006). Moreover, the workforce participation rates are adversely affected; individuals in poor health may experience reduced productivity, absenteeism, and increased disability claims, ultimately leading to economic stagnation within their communities (O’Donnell, 2009).</w:t>
      </w:r>
    </w:p>
    <w:p w14:paraId="57AAFBDF" w14:textId="77777777" w:rsidR="00D632A2" w:rsidRPr="00D632A2" w:rsidRDefault="00D632A2" w:rsidP="00D632A2">
      <w:pPr>
        <w:jc w:val="both"/>
        <w:rPr>
          <w:rFonts w:asciiTheme="majorBidi" w:hAnsiTheme="majorBidi" w:cstheme="majorBidi"/>
          <w:sz w:val="24"/>
          <w:szCs w:val="24"/>
        </w:rPr>
      </w:pPr>
      <w:r w:rsidRPr="00D632A2">
        <w:rPr>
          <w:rFonts w:asciiTheme="majorBidi" w:hAnsiTheme="majorBidi" w:cstheme="majorBidi"/>
          <w:sz w:val="24"/>
          <w:szCs w:val="24"/>
        </w:rPr>
        <w:t>Addressing health disparities requires comprehensive strategies that consider the social, economic, and environmental factors affecting minority communities. Policy interventions aimed at improving access to quality healthcare, enhancing education about preventive health measures, and addressing socioeconomic inequalities are essential for closing the health gap (Marmot, 2010). Initiatives such as community health programs and outreach efforts can help empower marginalized populations, fostering healthier lifestyles and improved health literacy (Sharma et al., 2015).</w:t>
      </w:r>
    </w:p>
    <w:p w14:paraId="558D9079" w14:textId="77777777" w:rsidR="00D632A2" w:rsidRPr="00D632A2" w:rsidRDefault="00D632A2" w:rsidP="00D632A2">
      <w:pPr>
        <w:jc w:val="both"/>
        <w:rPr>
          <w:rFonts w:asciiTheme="majorBidi" w:hAnsiTheme="majorBidi" w:cstheme="majorBidi"/>
          <w:sz w:val="24"/>
          <w:szCs w:val="24"/>
        </w:rPr>
      </w:pPr>
      <w:r w:rsidRPr="00D632A2">
        <w:rPr>
          <w:rFonts w:asciiTheme="majorBidi" w:hAnsiTheme="majorBidi" w:cstheme="majorBidi"/>
          <w:sz w:val="24"/>
          <w:szCs w:val="24"/>
        </w:rPr>
        <w:t xml:space="preserve">Tackling health disparities presents an opportunity for economic development. By investing in health equity initiatives, governments and organizations can create healthier communities that contribute to a more productive workforce (Bleich et al., 2012). </w:t>
      </w:r>
      <w:r w:rsidRPr="00D632A2">
        <w:rPr>
          <w:rFonts w:asciiTheme="majorBidi" w:hAnsiTheme="majorBidi" w:cstheme="majorBidi"/>
          <w:sz w:val="24"/>
          <w:szCs w:val="24"/>
        </w:rPr>
        <w:t>Economic models indicate that every dollar spent on health interventions can yield significant returns in terms of productivity gains and reduced healthcare costs (Bishop et al., 2013). Thus, prioritizing health equity is not only a moral imperative but also a smart economic strategy.</w:t>
      </w:r>
    </w:p>
    <w:p w14:paraId="32EC5277" w14:textId="77777777" w:rsidR="00D632A2" w:rsidRPr="00D632A2" w:rsidRDefault="00D632A2" w:rsidP="00D632A2">
      <w:pPr>
        <w:jc w:val="both"/>
        <w:rPr>
          <w:rFonts w:asciiTheme="majorBidi" w:hAnsiTheme="majorBidi" w:cstheme="majorBidi"/>
          <w:sz w:val="24"/>
          <w:szCs w:val="24"/>
        </w:rPr>
      </w:pPr>
      <w:r w:rsidRPr="00D632A2">
        <w:rPr>
          <w:rFonts w:asciiTheme="majorBidi" w:hAnsiTheme="majorBidi" w:cstheme="majorBidi"/>
          <w:sz w:val="24"/>
          <w:szCs w:val="24"/>
        </w:rPr>
        <w:t>The consequences of health disparities extend far beyond individual health outcomes, impacting minority communities in multifaceted ways. Long term health issues resulting from these disparities create significant burdens on healthcare systems and contribute to ongoing cycles of poverty and inequity. Moreover, the economic implications highlight the interconnectedness of health and economic stability, underscoring the need for targeted interventions to promote health equity.</w:t>
      </w:r>
    </w:p>
    <w:p w14:paraId="2F247746" w14:textId="77777777" w:rsidR="00D632A2" w:rsidRPr="00D632A2" w:rsidRDefault="00D632A2" w:rsidP="00D632A2">
      <w:pPr>
        <w:jc w:val="both"/>
        <w:rPr>
          <w:rFonts w:asciiTheme="majorBidi" w:hAnsiTheme="majorBidi" w:cstheme="majorBidi"/>
          <w:sz w:val="24"/>
          <w:szCs w:val="24"/>
        </w:rPr>
      </w:pPr>
      <w:r w:rsidRPr="00D632A2">
        <w:rPr>
          <w:rFonts w:asciiTheme="majorBidi" w:hAnsiTheme="majorBidi" w:cstheme="majorBidi"/>
          <w:sz w:val="24"/>
          <w:szCs w:val="24"/>
        </w:rPr>
        <w:t>By focusing on the systemic causes of health disparities and implementing effective policies, we can begin to dismantle the barriers that perpetuate inequity in health outcomes. This approach is crucial for fostering a healthier population, enhancing economic vitality, and ultimately ensuring that all individuals have the opportunity to lead healthy lives.</w:t>
      </w:r>
    </w:p>
    <w:p w14:paraId="25007C51" w14:textId="77777777" w:rsidR="00D632A2" w:rsidRPr="00D632A2" w:rsidRDefault="00D632A2" w:rsidP="00D632A2">
      <w:pPr>
        <w:jc w:val="both"/>
        <w:rPr>
          <w:rFonts w:asciiTheme="majorBidi" w:hAnsiTheme="majorBidi" w:cstheme="majorBidi"/>
          <w:sz w:val="24"/>
          <w:szCs w:val="24"/>
        </w:rPr>
      </w:pPr>
      <w:r w:rsidRPr="00D632A2">
        <w:rPr>
          <w:rFonts w:asciiTheme="majorBidi" w:hAnsiTheme="majorBidi" w:cstheme="majorBidi"/>
          <w:sz w:val="24"/>
          <w:szCs w:val="24"/>
        </w:rPr>
        <w:t>Solutions to Address Health Disparities</w:t>
      </w:r>
    </w:p>
    <w:p w14:paraId="1EADF8A2" w14:textId="77777777" w:rsidR="00D632A2" w:rsidRPr="00D632A2" w:rsidRDefault="00D632A2" w:rsidP="00D632A2">
      <w:pPr>
        <w:jc w:val="both"/>
        <w:rPr>
          <w:rFonts w:asciiTheme="majorBidi" w:hAnsiTheme="majorBidi" w:cstheme="majorBidi"/>
          <w:sz w:val="24"/>
          <w:szCs w:val="24"/>
        </w:rPr>
      </w:pPr>
      <w:r w:rsidRPr="00D632A2">
        <w:rPr>
          <w:rFonts w:asciiTheme="majorBidi" w:hAnsiTheme="majorBidi" w:cstheme="majorBidi"/>
          <w:sz w:val="24"/>
          <w:szCs w:val="24"/>
        </w:rPr>
        <w:t>Health disparities persist in many societies, often resulting in unequal health outcomes among different populations. To effectively address these disparities, comprehensive solutions involving policy reforms, community engagement, and culturally competent healthcare practices are necessary.</w:t>
      </w:r>
    </w:p>
    <w:p w14:paraId="13282417" w14:textId="77777777" w:rsidR="00D632A2" w:rsidRPr="00D632A2" w:rsidRDefault="00D632A2" w:rsidP="00D632A2">
      <w:pPr>
        <w:jc w:val="both"/>
        <w:rPr>
          <w:rFonts w:asciiTheme="majorBidi" w:hAnsiTheme="majorBidi" w:cstheme="majorBidi"/>
          <w:sz w:val="24"/>
          <w:szCs w:val="24"/>
        </w:rPr>
      </w:pPr>
      <w:r w:rsidRPr="00D632A2">
        <w:rPr>
          <w:rFonts w:asciiTheme="majorBidi" w:hAnsiTheme="majorBidi" w:cstheme="majorBidi"/>
          <w:sz w:val="24"/>
          <w:szCs w:val="24"/>
        </w:rPr>
        <w:t>Policy Reforms</w:t>
      </w:r>
    </w:p>
    <w:p w14:paraId="05FD338B" w14:textId="77777777" w:rsidR="00D632A2" w:rsidRPr="00D632A2" w:rsidRDefault="00D632A2" w:rsidP="00D632A2">
      <w:pPr>
        <w:jc w:val="both"/>
        <w:rPr>
          <w:rFonts w:asciiTheme="majorBidi" w:hAnsiTheme="majorBidi" w:cstheme="majorBidi"/>
          <w:sz w:val="24"/>
          <w:szCs w:val="24"/>
        </w:rPr>
      </w:pPr>
      <w:r w:rsidRPr="00D632A2">
        <w:rPr>
          <w:rFonts w:asciiTheme="majorBidi" w:hAnsiTheme="majorBidi" w:cstheme="majorBidi"/>
          <w:sz w:val="24"/>
          <w:szCs w:val="24"/>
        </w:rPr>
        <w:t xml:space="preserve">Expanding healthcare access and coverage is vital in reducing health disparities. This can be achieved through policies that enhance </w:t>
      </w:r>
      <w:r w:rsidRPr="00D632A2">
        <w:rPr>
          <w:rFonts w:asciiTheme="majorBidi" w:hAnsiTheme="majorBidi" w:cstheme="majorBidi"/>
          <w:sz w:val="24"/>
          <w:szCs w:val="24"/>
        </w:rPr>
        <w:lastRenderedPageBreak/>
        <w:t>insurance coverage, such as the Affordable Care Act (ACA) in the United States, which aimed to provide coverage to millions who were previously uninsured (Sommers et al., 2016). By ensuring that more individuals have access to affordable healthcare, disparities in health outcomes can be mitigated, as people are more likely to seek preventive care and treatment for chronic conditions when they are insured.</w:t>
      </w:r>
    </w:p>
    <w:p w14:paraId="5DAEFCEA" w14:textId="77777777" w:rsidR="00D632A2" w:rsidRPr="00D632A2" w:rsidRDefault="00D632A2" w:rsidP="00D632A2">
      <w:pPr>
        <w:jc w:val="both"/>
        <w:rPr>
          <w:rFonts w:asciiTheme="majorBidi" w:hAnsiTheme="majorBidi" w:cstheme="majorBidi"/>
          <w:sz w:val="24"/>
          <w:szCs w:val="24"/>
        </w:rPr>
      </w:pPr>
      <w:r w:rsidRPr="00D632A2">
        <w:rPr>
          <w:rFonts w:asciiTheme="majorBidi" w:hAnsiTheme="majorBidi" w:cstheme="majorBidi"/>
          <w:sz w:val="24"/>
          <w:szCs w:val="24"/>
        </w:rPr>
        <w:t>In addition to expanding coverage, implementing antidiscrimination laws in healthcare settings is crucial. Such laws can help prevent discrimination based on race, ethnicity, gender, or socioeconomic status, which are significant contributors to health disparities (Gonzalez et al., 2021). Enforcing these laws ensures that all patients receive equitable treatment and fosters an environment where marginalized groups feel safe seeking care.</w:t>
      </w:r>
    </w:p>
    <w:p w14:paraId="1D29774D" w14:textId="77777777" w:rsidR="00D632A2" w:rsidRPr="00D632A2" w:rsidRDefault="00D632A2" w:rsidP="00D632A2">
      <w:pPr>
        <w:jc w:val="both"/>
        <w:rPr>
          <w:rFonts w:asciiTheme="majorBidi" w:hAnsiTheme="majorBidi" w:cstheme="majorBidi"/>
          <w:sz w:val="24"/>
          <w:szCs w:val="24"/>
        </w:rPr>
      </w:pPr>
      <w:r w:rsidRPr="00D632A2">
        <w:rPr>
          <w:rFonts w:asciiTheme="majorBidi" w:hAnsiTheme="majorBidi" w:cstheme="majorBidi"/>
          <w:sz w:val="24"/>
          <w:szCs w:val="24"/>
        </w:rPr>
        <w:t>Community Engagement</w:t>
      </w:r>
    </w:p>
    <w:p w14:paraId="5AD273BA" w14:textId="77777777" w:rsidR="00D632A2" w:rsidRPr="00D632A2" w:rsidRDefault="00D632A2" w:rsidP="00D632A2">
      <w:pPr>
        <w:jc w:val="both"/>
        <w:rPr>
          <w:rFonts w:asciiTheme="majorBidi" w:hAnsiTheme="majorBidi" w:cstheme="majorBidi"/>
          <w:sz w:val="24"/>
          <w:szCs w:val="24"/>
        </w:rPr>
      </w:pPr>
      <w:r w:rsidRPr="00D632A2">
        <w:rPr>
          <w:rFonts w:asciiTheme="majorBidi" w:hAnsiTheme="majorBidi" w:cstheme="majorBidi"/>
          <w:sz w:val="24"/>
          <w:szCs w:val="24"/>
        </w:rPr>
        <w:t>Building trust between healthcare providers and minority communities is essential in addressing health disparities. Trust can be fostered through outreach programs that educate communities about available health services and the importance of preventive care (Flores, 2010). Healthcare providers can participate in community events and engage in dialogue with community members to understand their specific health concerns, which can help dismantle barriers to care.</w:t>
      </w:r>
    </w:p>
    <w:p w14:paraId="56AE8D98" w14:textId="77777777" w:rsidR="00D632A2" w:rsidRPr="00D632A2" w:rsidRDefault="00D632A2" w:rsidP="00D632A2">
      <w:pPr>
        <w:jc w:val="both"/>
        <w:rPr>
          <w:rFonts w:asciiTheme="majorBidi" w:hAnsiTheme="majorBidi" w:cstheme="majorBidi"/>
          <w:sz w:val="24"/>
          <w:szCs w:val="24"/>
        </w:rPr>
      </w:pPr>
      <w:r w:rsidRPr="00D632A2">
        <w:rPr>
          <w:rFonts w:asciiTheme="majorBidi" w:hAnsiTheme="majorBidi" w:cstheme="majorBidi"/>
          <w:sz w:val="24"/>
          <w:szCs w:val="24"/>
        </w:rPr>
        <w:t xml:space="preserve">Involving community leaders in health initiatives can significantly enhance the effectiveness of health interventions. Leaders can act as liaisons between healthcare systems and the communities they serve, ensuring that programs are culturally relevant and tailored to meet the unique needs of diverse populations (Berkowitz, 2016). Their involvement can also facilitate greater community buyin and </w:t>
      </w:r>
      <w:r w:rsidRPr="00D632A2">
        <w:rPr>
          <w:rFonts w:asciiTheme="majorBidi" w:hAnsiTheme="majorBidi" w:cstheme="majorBidi"/>
          <w:sz w:val="24"/>
          <w:szCs w:val="24"/>
        </w:rPr>
        <w:t>participation, leading to more sustainable health outcomes.</w:t>
      </w:r>
    </w:p>
    <w:p w14:paraId="017AF70F" w14:textId="77777777" w:rsidR="00D632A2" w:rsidRPr="00D632A2" w:rsidRDefault="00D632A2" w:rsidP="00D632A2">
      <w:pPr>
        <w:jc w:val="both"/>
        <w:rPr>
          <w:rFonts w:asciiTheme="majorBidi" w:hAnsiTheme="majorBidi" w:cstheme="majorBidi"/>
          <w:sz w:val="24"/>
          <w:szCs w:val="24"/>
        </w:rPr>
      </w:pPr>
      <w:r w:rsidRPr="00D632A2">
        <w:rPr>
          <w:rFonts w:asciiTheme="majorBidi" w:hAnsiTheme="majorBidi" w:cstheme="majorBidi"/>
          <w:sz w:val="24"/>
          <w:szCs w:val="24"/>
        </w:rPr>
        <w:t>Culturally Competent Healthcare Practices</w:t>
      </w:r>
    </w:p>
    <w:p w14:paraId="6564B112" w14:textId="77777777" w:rsidR="00D632A2" w:rsidRPr="00D632A2" w:rsidRDefault="00D632A2" w:rsidP="00D632A2">
      <w:pPr>
        <w:jc w:val="both"/>
        <w:rPr>
          <w:rFonts w:asciiTheme="majorBidi" w:hAnsiTheme="majorBidi" w:cstheme="majorBidi"/>
          <w:sz w:val="24"/>
          <w:szCs w:val="24"/>
        </w:rPr>
      </w:pPr>
      <w:r w:rsidRPr="00D632A2">
        <w:rPr>
          <w:rFonts w:asciiTheme="majorBidi" w:hAnsiTheme="majorBidi" w:cstheme="majorBidi"/>
          <w:sz w:val="24"/>
          <w:szCs w:val="24"/>
        </w:rPr>
        <w:t>Training healthcare providers in cultural competence is imperative for improving health outcomes among diverse populations. Cultural competence involves understanding and respecting patients' cultural backgrounds, beliefs, and values, which can influence their healthcare experiences and decisions (Betancourt et al., 2005). Ongoing training programs can equip healthcare professionals with the skills needed to communicate effectively with patients from various cultural backgrounds, ultimately leading to improved patient satisfaction and adherence to treatment.</w:t>
      </w:r>
    </w:p>
    <w:p w14:paraId="62E9E956" w14:textId="77777777" w:rsidR="00D632A2" w:rsidRPr="00D632A2" w:rsidRDefault="00D632A2" w:rsidP="00D632A2">
      <w:pPr>
        <w:jc w:val="both"/>
        <w:rPr>
          <w:rFonts w:asciiTheme="majorBidi" w:hAnsiTheme="majorBidi" w:cstheme="majorBidi"/>
          <w:sz w:val="24"/>
          <w:szCs w:val="24"/>
        </w:rPr>
      </w:pPr>
      <w:r w:rsidRPr="00D632A2">
        <w:rPr>
          <w:rFonts w:asciiTheme="majorBidi" w:hAnsiTheme="majorBidi" w:cstheme="majorBidi"/>
          <w:sz w:val="24"/>
          <w:szCs w:val="24"/>
        </w:rPr>
        <w:t>Developing patientcentered care models is crucial for addressing health disparities. Such models prioritize the patient's individual needs and preferences, ensuring that care is tailored to their specific circumstances (McCormack et al., 2015). By involving patients in decision making processes and recognizing their unique cultural contexts, healthcare providers can enhance engagement and improve health outcomes for marginalized groups.</w:t>
      </w:r>
    </w:p>
    <w:p w14:paraId="42A97FD4" w14:textId="77777777" w:rsidR="00D632A2" w:rsidRPr="00D632A2" w:rsidRDefault="00D632A2" w:rsidP="00D632A2">
      <w:pPr>
        <w:jc w:val="both"/>
        <w:rPr>
          <w:rFonts w:asciiTheme="majorBidi" w:hAnsiTheme="majorBidi" w:cstheme="majorBidi"/>
          <w:sz w:val="24"/>
          <w:szCs w:val="24"/>
        </w:rPr>
      </w:pPr>
      <w:r w:rsidRPr="00D632A2">
        <w:rPr>
          <w:rFonts w:asciiTheme="majorBidi" w:hAnsiTheme="majorBidi" w:cstheme="majorBidi"/>
          <w:sz w:val="24"/>
          <w:szCs w:val="24"/>
        </w:rPr>
        <w:t>Summary</w:t>
      </w:r>
    </w:p>
    <w:p w14:paraId="7B99BDF4" w14:textId="77777777" w:rsidR="00D632A2" w:rsidRPr="00D632A2" w:rsidRDefault="00D632A2" w:rsidP="00D632A2">
      <w:pPr>
        <w:jc w:val="both"/>
        <w:rPr>
          <w:rFonts w:asciiTheme="majorBidi" w:hAnsiTheme="majorBidi" w:cstheme="majorBidi"/>
          <w:sz w:val="24"/>
          <w:szCs w:val="24"/>
        </w:rPr>
      </w:pPr>
      <w:r w:rsidRPr="00D632A2">
        <w:rPr>
          <w:rFonts w:asciiTheme="majorBidi" w:hAnsiTheme="majorBidi" w:cstheme="majorBidi"/>
          <w:sz w:val="24"/>
          <w:szCs w:val="24"/>
        </w:rPr>
        <w:t xml:space="preserve">Health disparities among minority groups are a significant public health concern driven by a combination of socioeconomic, cultural, and systemic factors. By identifying the root causes of these disparities, this article highlights the urgent need for comprehensive solutions that include policy reforms, community engagement, and the promotion of culturally competent healthcare practices. The pursuit of health equity requires a collective effort from healthcare providers, policymakers, and communities to dismantle the barriers that </w:t>
      </w:r>
      <w:r w:rsidRPr="00D632A2">
        <w:rPr>
          <w:rFonts w:asciiTheme="majorBidi" w:hAnsiTheme="majorBidi" w:cstheme="majorBidi"/>
          <w:sz w:val="24"/>
          <w:szCs w:val="24"/>
        </w:rPr>
        <w:lastRenderedPageBreak/>
        <w:t>contribute to health disparities and to ensure that all individuals have the opportunity to achieve optimal health.</w:t>
      </w:r>
    </w:p>
    <w:p w14:paraId="541946F4" w14:textId="77777777" w:rsidR="00D632A2" w:rsidRPr="00D632A2" w:rsidRDefault="00D632A2" w:rsidP="00D632A2">
      <w:pPr>
        <w:jc w:val="both"/>
        <w:rPr>
          <w:rFonts w:asciiTheme="majorBidi" w:hAnsiTheme="majorBidi" w:cstheme="majorBidi"/>
          <w:sz w:val="24"/>
          <w:szCs w:val="24"/>
        </w:rPr>
      </w:pPr>
      <w:r w:rsidRPr="00D632A2">
        <w:rPr>
          <w:rFonts w:asciiTheme="majorBidi" w:hAnsiTheme="majorBidi" w:cstheme="majorBidi"/>
          <w:sz w:val="24"/>
          <w:szCs w:val="24"/>
        </w:rPr>
        <w:t>References</w:t>
      </w:r>
    </w:p>
    <w:p w14:paraId="68C3EE82" w14:textId="77777777" w:rsidR="00D632A2" w:rsidRPr="00D632A2" w:rsidRDefault="00D632A2" w:rsidP="00D632A2">
      <w:pPr>
        <w:jc w:val="both"/>
        <w:rPr>
          <w:rFonts w:asciiTheme="majorBidi" w:hAnsiTheme="majorBidi" w:cstheme="majorBidi"/>
          <w:sz w:val="24"/>
          <w:szCs w:val="24"/>
        </w:rPr>
      </w:pPr>
      <w:r w:rsidRPr="00D632A2">
        <w:rPr>
          <w:rFonts w:asciiTheme="majorBidi" w:hAnsiTheme="majorBidi" w:cstheme="majorBidi"/>
          <w:sz w:val="24"/>
          <w:szCs w:val="24"/>
        </w:rPr>
        <w:t>Baker, D. W. (2006). The Meaning and the Measure of Health Literacy. Journal of General Internal Medicine, 21(8), 878883.</w:t>
      </w:r>
    </w:p>
    <w:p w14:paraId="3FA1D255" w14:textId="77777777" w:rsidR="00D632A2" w:rsidRPr="00D632A2" w:rsidRDefault="00D632A2" w:rsidP="00D632A2">
      <w:pPr>
        <w:jc w:val="both"/>
        <w:rPr>
          <w:rFonts w:asciiTheme="majorBidi" w:hAnsiTheme="majorBidi" w:cstheme="majorBidi"/>
          <w:sz w:val="24"/>
          <w:szCs w:val="24"/>
        </w:rPr>
      </w:pPr>
      <w:r w:rsidRPr="00D632A2">
        <w:rPr>
          <w:rFonts w:asciiTheme="majorBidi" w:hAnsiTheme="majorBidi" w:cstheme="majorBidi"/>
          <w:sz w:val="24"/>
          <w:szCs w:val="24"/>
        </w:rPr>
        <w:t>Braveman, P., Egerter, S., &amp; Williams, D. R. (2011). The Social Determinants of Health: Coming of Age. Annual Review of Public Health, 32(1), 381398.</w:t>
      </w:r>
    </w:p>
    <w:p w14:paraId="3E0EF04E" w14:textId="77777777" w:rsidR="00D632A2" w:rsidRPr="00D632A2" w:rsidRDefault="00D632A2" w:rsidP="00D632A2">
      <w:pPr>
        <w:jc w:val="both"/>
        <w:rPr>
          <w:rFonts w:asciiTheme="majorBidi" w:hAnsiTheme="majorBidi" w:cstheme="majorBidi"/>
          <w:sz w:val="24"/>
          <w:szCs w:val="24"/>
        </w:rPr>
      </w:pPr>
      <w:r w:rsidRPr="00D632A2">
        <w:rPr>
          <w:rFonts w:asciiTheme="majorBidi" w:hAnsiTheme="majorBidi" w:cstheme="majorBidi"/>
          <w:sz w:val="24"/>
          <w:szCs w:val="24"/>
        </w:rPr>
        <w:t>Flores, G. (2006). Language Barriers to Health Care in the United States. New England Journal of Medicine, 355(3), 229231.</w:t>
      </w:r>
    </w:p>
    <w:p w14:paraId="5E25A99D" w14:textId="77777777" w:rsidR="00D632A2" w:rsidRPr="00D632A2" w:rsidRDefault="00D632A2" w:rsidP="00D632A2">
      <w:pPr>
        <w:jc w:val="both"/>
        <w:rPr>
          <w:rFonts w:asciiTheme="majorBidi" w:hAnsiTheme="majorBidi" w:cstheme="majorBidi"/>
          <w:sz w:val="24"/>
          <w:szCs w:val="24"/>
        </w:rPr>
      </w:pPr>
      <w:r w:rsidRPr="00D632A2">
        <w:rPr>
          <w:rFonts w:asciiTheme="majorBidi" w:hAnsiTheme="majorBidi" w:cstheme="majorBidi"/>
          <w:sz w:val="24"/>
          <w:szCs w:val="24"/>
        </w:rPr>
        <w:t>Gamble, V. N. (1997). Under the Shadow of Tuskegee: African Americans and Health Care. American Journal of Public Health, 87(11), 17731778.</w:t>
      </w:r>
    </w:p>
    <w:p w14:paraId="65E8DE99" w14:textId="77777777" w:rsidR="00D632A2" w:rsidRPr="00D632A2" w:rsidRDefault="00D632A2" w:rsidP="00D632A2">
      <w:pPr>
        <w:jc w:val="both"/>
        <w:rPr>
          <w:rFonts w:asciiTheme="majorBidi" w:hAnsiTheme="majorBidi" w:cstheme="majorBidi"/>
          <w:sz w:val="24"/>
          <w:szCs w:val="24"/>
        </w:rPr>
      </w:pPr>
      <w:r w:rsidRPr="00D632A2">
        <w:rPr>
          <w:rFonts w:asciiTheme="majorBidi" w:hAnsiTheme="majorBidi" w:cstheme="majorBidi"/>
          <w:sz w:val="24"/>
          <w:szCs w:val="24"/>
        </w:rPr>
        <w:t>Hadley, J. (2003). Sicker and Poorer—The Consequences of Being Uninsured: A Review of the Evidence. Medical Care Research and Review, 60(2), 3S75S.</w:t>
      </w:r>
    </w:p>
    <w:p w14:paraId="31B0895F" w14:textId="77777777" w:rsidR="00D632A2" w:rsidRPr="00D632A2" w:rsidRDefault="00D632A2" w:rsidP="00D632A2">
      <w:pPr>
        <w:jc w:val="both"/>
        <w:rPr>
          <w:rFonts w:asciiTheme="majorBidi" w:hAnsiTheme="majorBidi" w:cstheme="majorBidi"/>
          <w:sz w:val="24"/>
          <w:szCs w:val="24"/>
        </w:rPr>
      </w:pPr>
      <w:r w:rsidRPr="00D632A2">
        <w:rPr>
          <w:rFonts w:asciiTheme="majorBidi" w:hAnsiTheme="majorBidi" w:cstheme="majorBidi"/>
          <w:sz w:val="24"/>
          <w:szCs w:val="24"/>
        </w:rPr>
        <w:t>Kleinman, A., Eisenberg, L., &amp; Good, B. (1978). Culture, Illness, and Care: Clinical Lessons from Anthropologic and CrossCultural Research. Annals of Internal Medicine, 88(2), 251258.</w:t>
      </w:r>
    </w:p>
    <w:p w14:paraId="5C92C9AB" w14:textId="77777777" w:rsidR="00D632A2" w:rsidRPr="00D632A2" w:rsidRDefault="00D632A2" w:rsidP="00D632A2">
      <w:pPr>
        <w:jc w:val="both"/>
        <w:rPr>
          <w:rFonts w:asciiTheme="majorBidi" w:hAnsiTheme="majorBidi" w:cstheme="majorBidi"/>
          <w:sz w:val="24"/>
          <w:szCs w:val="24"/>
        </w:rPr>
      </w:pPr>
      <w:r w:rsidRPr="00D632A2">
        <w:rPr>
          <w:rFonts w:asciiTheme="majorBidi" w:hAnsiTheme="majorBidi" w:cstheme="majorBidi"/>
          <w:sz w:val="24"/>
          <w:szCs w:val="24"/>
        </w:rPr>
        <w:t>Kirkwood, B. R., &amp; Sterne, J. A. (2019). Essential Medical Statistics. WileyBlackwell.</w:t>
      </w:r>
    </w:p>
    <w:p w14:paraId="064F7BE4" w14:textId="77777777" w:rsidR="00D632A2" w:rsidRPr="00D632A2" w:rsidRDefault="00D632A2" w:rsidP="00D632A2">
      <w:pPr>
        <w:jc w:val="both"/>
        <w:rPr>
          <w:rFonts w:asciiTheme="majorBidi" w:hAnsiTheme="majorBidi" w:cstheme="majorBidi"/>
          <w:sz w:val="24"/>
          <w:szCs w:val="24"/>
        </w:rPr>
      </w:pPr>
      <w:r w:rsidRPr="00D632A2">
        <w:rPr>
          <w:rFonts w:asciiTheme="majorBidi" w:hAnsiTheme="majorBidi" w:cstheme="majorBidi"/>
          <w:sz w:val="24"/>
          <w:szCs w:val="24"/>
        </w:rPr>
        <w:t>Marmot, M., Stansfeld, S., &amp; Patel, C. (2008). Social Determinants of Health. The Lancet, 372(9650), 16501663.</w:t>
      </w:r>
    </w:p>
    <w:p w14:paraId="32509A58" w14:textId="77777777" w:rsidR="00D632A2" w:rsidRPr="00D632A2" w:rsidRDefault="00D632A2" w:rsidP="00D632A2">
      <w:pPr>
        <w:jc w:val="both"/>
        <w:rPr>
          <w:rFonts w:asciiTheme="majorBidi" w:hAnsiTheme="majorBidi" w:cstheme="majorBidi"/>
          <w:sz w:val="24"/>
          <w:szCs w:val="24"/>
        </w:rPr>
      </w:pPr>
      <w:r w:rsidRPr="00D632A2">
        <w:rPr>
          <w:rFonts w:asciiTheme="majorBidi" w:hAnsiTheme="majorBidi" w:cstheme="majorBidi"/>
          <w:sz w:val="24"/>
          <w:szCs w:val="24"/>
        </w:rPr>
        <w:t>Smedley, B. D., Stith, A. Y., &amp; Nelson, A. R. (2003). Unequal Treatment: Confronting Racial and Ethnic Disparities in Health Care. National Academies Press.</w:t>
      </w:r>
    </w:p>
    <w:p w14:paraId="593DE481" w14:textId="77777777" w:rsidR="00D632A2" w:rsidRPr="00D632A2" w:rsidRDefault="00D632A2" w:rsidP="00D632A2">
      <w:pPr>
        <w:jc w:val="both"/>
        <w:rPr>
          <w:rFonts w:asciiTheme="majorBidi" w:hAnsiTheme="majorBidi" w:cstheme="majorBidi"/>
          <w:sz w:val="24"/>
          <w:szCs w:val="24"/>
        </w:rPr>
      </w:pPr>
      <w:r w:rsidRPr="00D632A2">
        <w:rPr>
          <w:rFonts w:asciiTheme="majorBidi" w:hAnsiTheme="majorBidi" w:cstheme="majorBidi"/>
          <w:sz w:val="24"/>
          <w:szCs w:val="24"/>
        </w:rPr>
        <w:t>Baser, O., et al. (2006). The economic burden of chronic disease in the United States. Journal of Health Economics, 25(4), 754775.</w:t>
      </w:r>
    </w:p>
    <w:p w14:paraId="36740E18" w14:textId="77777777" w:rsidR="00D632A2" w:rsidRPr="00D632A2" w:rsidRDefault="00D632A2" w:rsidP="00D632A2">
      <w:pPr>
        <w:jc w:val="both"/>
        <w:rPr>
          <w:rFonts w:asciiTheme="majorBidi" w:hAnsiTheme="majorBidi" w:cstheme="majorBidi"/>
          <w:sz w:val="24"/>
          <w:szCs w:val="24"/>
        </w:rPr>
      </w:pPr>
      <w:r w:rsidRPr="00D632A2">
        <w:rPr>
          <w:rFonts w:asciiTheme="majorBidi" w:hAnsiTheme="majorBidi" w:cstheme="majorBidi"/>
          <w:sz w:val="24"/>
          <w:szCs w:val="24"/>
        </w:rPr>
        <w:t>Bleich, S. N., et al. (2012). Health disparities across the lifespan: A focus on health equity. Health Affairs, 31(5), 971978.</w:t>
      </w:r>
    </w:p>
    <w:p w14:paraId="1D4D7168" w14:textId="77777777" w:rsidR="00D632A2" w:rsidRPr="00D632A2" w:rsidRDefault="00D632A2" w:rsidP="00D632A2">
      <w:pPr>
        <w:jc w:val="both"/>
        <w:rPr>
          <w:rFonts w:asciiTheme="majorBidi" w:hAnsiTheme="majorBidi" w:cstheme="majorBidi"/>
          <w:sz w:val="24"/>
          <w:szCs w:val="24"/>
        </w:rPr>
      </w:pPr>
      <w:r w:rsidRPr="00D632A2">
        <w:rPr>
          <w:rFonts w:asciiTheme="majorBidi" w:hAnsiTheme="majorBidi" w:cstheme="majorBidi"/>
          <w:sz w:val="24"/>
          <w:szCs w:val="24"/>
        </w:rPr>
        <w:t>Bishop, B. J., et al. (2013). The economic benefits of preventing chronic diseases. American Journal of Public Health, 103(9), 16501657.</w:t>
      </w:r>
    </w:p>
    <w:p w14:paraId="3F046F95" w14:textId="77777777" w:rsidR="00D632A2" w:rsidRPr="00D632A2" w:rsidRDefault="00D632A2" w:rsidP="00D632A2">
      <w:pPr>
        <w:jc w:val="both"/>
        <w:rPr>
          <w:rFonts w:asciiTheme="majorBidi" w:hAnsiTheme="majorBidi" w:cstheme="majorBidi"/>
          <w:sz w:val="24"/>
          <w:szCs w:val="24"/>
        </w:rPr>
      </w:pPr>
      <w:r w:rsidRPr="00D632A2">
        <w:rPr>
          <w:rFonts w:asciiTheme="majorBidi" w:hAnsiTheme="majorBidi" w:cstheme="majorBidi"/>
          <w:sz w:val="24"/>
          <w:szCs w:val="24"/>
        </w:rPr>
        <w:t>Braveman, P., et al. (2011). Health disparities and health equity: Concepts and measurement. Annual Review of Public Health, 32, 167194.</w:t>
      </w:r>
    </w:p>
    <w:p w14:paraId="283987F0" w14:textId="77777777" w:rsidR="00D632A2" w:rsidRPr="00D632A2" w:rsidRDefault="00D632A2" w:rsidP="00D632A2">
      <w:pPr>
        <w:jc w:val="both"/>
        <w:rPr>
          <w:rFonts w:asciiTheme="majorBidi" w:hAnsiTheme="majorBidi" w:cstheme="majorBidi"/>
          <w:sz w:val="24"/>
          <w:szCs w:val="24"/>
        </w:rPr>
      </w:pPr>
      <w:r w:rsidRPr="00D632A2">
        <w:rPr>
          <w:rFonts w:asciiTheme="majorBidi" w:hAnsiTheme="majorBidi" w:cstheme="majorBidi"/>
          <w:sz w:val="24"/>
          <w:szCs w:val="24"/>
        </w:rPr>
        <w:t>Browning, C. R., &amp; Cagney, K. A. (2002). Neighborhood structural disadvantage, collective efficacy, and selfrated health in an urban setting. Journal of Health and Social Behavior, 43(4), 383399.</w:t>
      </w:r>
    </w:p>
    <w:p w14:paraId="4220CFBD" w14:textId="77777777" w:rsidR="00D632A2" w:rsidRPr="00D632A2" w:rsidRDefault="00D632A2" w:rsidP="00D632A2">
      <w:pPr>
        <w:jc w:val="both"/>
        <w:rPr>
          <w:rFonts w:asciiTheme="majorBidi" w:hAnsiTheme="majorBidi" w:cstheme="majorBidi"/>
          <w:sz w:val="24"/>
          <w:szCs w:val="24"/>
        </w:rPr>
      </w:pPr>
      <w:r w:rsidRPr="00D632A2">
        <w:rPr>
          <w:rFonts w:asciiTheme="majorBidi" w:hAnsiTheme="majorBidi" w:cstheme="majorBidi"/>
          <w:sz w:val="24"/>
          <w:szCs w:val="24"/>
        </w:rPr>
        <w:t>LaVeist, T. A. (2011). The economic burden of health disparities. American Journal of Public Health, 101(S1), S102S108.</w:t>
      </w:r>
    </w:p>
    <w:p w14:paraId="7FCE5F6C" w14:textId="77777777" w:rsidR="00D632A2" w:rsidRPr="00D632A2" w:rsidRDefault="00D632A2" w:rsidP="00D632A2">
      <w:pPr>
        <w:jc w:val="both"/>
        <w:rPr>
          <w:rFonts w:asciiTheme="majorBidi" w:hAnsiTheme="majorBidi" w:cstheme="majorBidi"/>
          <w:sz w:val="24"/>
          <w:szCs w:val="24"/>
        </w:rPr>
      </w:pPr>
      <w:r w:rsidRPr="00D632A2">
        <w:rPr>
          <w:rFonts w:asciiTheme="majorBidi" w:hAnsiTheme="majorBidi" w:cstheme="majorBidi"/>
          <w:sz w:val="24"/>
          <w:szCs w:val="24"/>
        </w:rPr>
        <w:t xml:space="preserve">Marmot, M. (2010). Fair Society, Healthy Lives: The Marmot Review. Strategic Review of Health Inequalities in England Post2010. </w:t>
      </w:r>
    </w:p>
    <w:p w14:paraId="2B2FA34E" w14:textId="77777777" w:rsidR="00D632A2" w:rsidRPr="00D632A2" w:rsidRDefault="00D632A2" w:rsidP="00D632A2">
      <w:pPr>
        <w:jc w:val="both"/>
        <w:rPr>
          <w:rFonts w:asciiTheme="majorBidi" w:hAnsiTheme="majorBidi" w:cstheme="majorBidi"/>
          <w:sz w:val="24"/>
          <w:szCs w:val="24"/>
        </w:rPr>
      </w:pPr>
      <w:r w:rsidRPr="00D632A2">
        <w:rPr>
          <w:rFonts w:asciiTheme="majorBidi" w:hAnsiTheme="majorBidi" w:cstheme="majorBidi"/>
          <w:sz w:val="24"/>
          <w:szCs w:val="24"/>
        </w:rPr>
        <w:t>O’Donnell, J. (2009). The economic impact of health disparities in the U.S. Journal of Health Disparities Research and Practice, 3(1), 310.</w:t>
      </w:r>
    </w:p>
    <w:p w14:paraId="5D989E8E" w14:textId="77777777" w:rsidR="00D632A2" w:rsidRPr="00D632A2" w:rsidRDefault="00D632A2" w:rsidP="00D632A2">
      <w:pPr>
        <w:jc w:val="both"/>
        <w:rPr>
          <w:rFonts w:asciiTheme="majorBidi" w:hAnsiTheme="majorBidi" w:cstheme="majorBidi"/>
          <w:sz w:val="24"/>
          <w:szCs w:val="24"/>
        </w:rPr>
      </w:pPr>
      <w:r w:rsidRPr="00D632A2">
        <w:rPr>
          <w:rFonts w:asciiTheme="majorBidi" w:hAnsiTheme="majorBidi" w:cstheme="majorBidi"/>
          <w:sz w:val="24"/>
          <w:szCs w:val="24"/>
        </w:rPr>
        <w:t>Sharma, A. R., et al. (2015). Health literacy and health disparities in health care. Journal of Health Communication, 20(5), 500508.</w:t>
      </w:r>
    </w:p>
    <w:p w14:paraId="4307A8C5" w14:textId="77777777" w:rsidR="00D632A2" w:rsidRPr="00D632A2" w:rsidRDefault="00D632A2" w:rsidP="00D632A2">
      <w:pPr>
        <w:jc w:val="both"/>
        <w:rPr>
          <w:rFonts w:asciiTheme="majorBidi" w:hAnsiTheme="majorBidi" w:cstheme="majorBidi"/>
          <w:sz w:val="24"/>
          <w:szCs w:val="24"/>
        </w:rPr>
      </w:pPr>
      <w:r w:rsidRPr="00D632A2">
        <w:rPr>
          <w:rFonts w:asciiTheme="majorBidi" w:hAnsiTheme="majorBidi" w:cstheme="majorBidi"/>
          <w:sz w:val="24"/>
          <w:szCs w:val="24"/>
        </w:rPr>
        <w:t>Singh, G. K., &amp; Siahpush, M. (2014). Widening socioeconomic inequalities in mortality among US adults. International Journal of MCH and AIDS, 3(2), 132140.</w:t>
      </w:r>
    </w:p>
    <w:p w14:paraId="17E258B9" w14:textId="77777777" w:rsidR="00D632A2" w:rsidRPr="00D632A2" w:rsidRDefault="00D632A2" w:rsidP="00D632A2">
      <w:pPr>
        <w:jc w:val="both"/>
        <w:rPr>
          <w:rFonts w:asciiTheme="majorBidi" w:hAnsiTheme="majorBidi" w:cstheme="majorBidi"/>
          <w:sz w:val="24"/>
          <w:szCs w:val="24"/>
        </w:rPr>
      </w:pPr>
      <w:r w:rsidRPr="00D632A2">
        <w:rPr>
          <w:rFonts w:asciiTheme="majorBidi" w:hAnsiTheme="majorBidi" w:cstheme="majorBidi"/>
          <w:sz w:val="24"/>
          <w:szCs w:val="24"/>
        </w:rPr>
        <w:t xml:space="preserve">Williams, D. R., &amp; Mohammed, S. A. (2009). Discrimination and racial disparities in health: </w:t>
      </w:r>
      <w:r w:rsidRPr="00D632A2">
        <w:rPr>
          <w:rFonts w:asciiTheme="majorBidi" w:hAnsiTheme="majorBidi" w:cstheme="majorBidi"/>
          <w:sz w:val="24"/>
          <w:szCs w:val="24"/>
        </w:rPr>
        <w:lastRenderedPageBreak/>
        <w:t>evidence and needed research. Journal of Behavioral Medicine, 32(1), 2047.</w:t>
      </w:r>
    </w:p>
    <w:p w14:paraId="61726BCD" w14:textId="77777777" w:rsidR="00D632A2" w:rsidRPr="00D632A2" w:rsidRDefault="00D632A2" w:rsidP="00D632A2">
      <w:pPr>
        <w:jc w:val="both"/>
        <w:rPr>
          <w:rFonts w:asciiTheme="majorBidi" w:hAnsiTheme="majorBidi" w:cstheme="majorBidi"/>
          <w:sz w:val="24"/>
          <w:szCs w:val="24"/>
        </w:rPr>
      </w:pPr>
      <w:r w:rsidRPr="00D632A2">
        <w:rPr>
          <w:rFonts w:asciiTheme="majorBidi" w:hAnsiTheme="majorBidi" w:cstheme="majorBidi"/>
          <w:sz w:val="24"/>
          <w:szCs w:val="24"/>
        </w:rPr>
        <w:t>Betancourt, J. R., Green, A. R., &amp; Carrillo, J. E. (2005). The Challenges of CrossCultural Care: Diverse Healthcare Systems and Provider Competence. The Commonwealth Fund.</w:t>
      </w:r>
    </w:p>
    <w:p w14:paraId="7D9E72F5" w14:textId="77777777" w:rsidR="00D632A2" w:rsidRPr="00D632A2" w:rsidRDefault="00D632A2" w:rsidP="00D632A2">
      <w:pPr>
        <w:jc w:val="both"/>
        <w:rPr>
          <w:rFonts w:asciiTheme="majorBidi" w:hAnsiTheme="majorBidi" w:cstheme="majorBidi"/>
          <w:sz w:val="24"/>
          <w:szCs w:val="24"/>
        </w:rPr>
      </w:pPr>
      <w:r w:rsidRPr="00D632A2">
        <w:rPr>
          <w:rFonts w:asciiTheme="majorBidi" w:hAnsiTheme="majorBidi" w:cstheme="majorBidi"/>
          <w:sz w:val="24"/>
          <w:szCs w:val="24"/>
        </w:rPr>
        <w:t>Berkowitz, S. A. (2016). Community Engagement in Healthcare: The Role of Community Leaders. Health Affairs, 35(8), 14561462.</w:t>
      </w:r>
    </w:p>
    <w:p w14:paraId="42AD18E4" w14:textId="77777777" w:rsidR="00D632A2" w:rsidRPr="00D632A2" w:rsidRDefault="00D632A2" w:rsidP="00D632A2">
      <w:pPr>
        <w:jc w:val="both"/>
        <w:rPr>
          <w:rFonts w:asciiTheme="majorBidi" w:hAnsiTheme="majorBidi" w:cstheme="majorBidi"/>
          <w:sz w:val="24"/>
          <w:szCs w:val="24"/>
        </w:rPr>
      </w:pPr>
      <w:r w:rsidRPr="00D632A2">
        <w:rPr>
          <w:rFonts w:asciiTheme="majorBidi" w:hAnsiTheme="majorBidi" w:cstheme="majorBidi"/>
          <w:sz w:val="24"/>
          <w:szCs w:val="24"/>
        </w:rPr>
        <w:t>Flores, G. (2010). The Importance of Cultural Competence in Healthcare. Pediatrics, 125(1), e164e172.</w:t>
      </w:r>
    </w:p>
    <w:p w14:paraId="05A0AE49" w14:textId="77777777" w:rsidR="00D632A2" w:rsidRPr="00D632A2" w:rsidRDefault="00D632A2" w:rsidP="00D632A2">
      <w:pPr>
        <w:jc w:val="both"/>
        <w:rPr>
          <w:rFonts w:asciiTheme="majorBidi" w:hAnsiTheme="majorBidi" w:cstheme="majorBidi"/>
          <w:sz w:val="24"/>
          <w:szCs w:val="24"/>
        </w:rPr>
      </w:pPr>
      <w:r w:rsidRPr="00D632A2">
        <w:rPr>
          <w:rFonts w:asciiTheme="majorBidi" w:hAnsiTheme="majorBidi" w:cstheme="majorBidi"/>
          <w:sz w:val="24"/>
          <w:szCs w:val="24"/>
        </w:rPr>
        <w:t>Gonzalez, C. M., et al. (2021). Discrimination and Health Disparities: A Review of the Literature. Journal of Health Politics, Policy and Law, 46(3), 499517.</w:t>
      </w:r>
    </w:p>
    <w:p w14:paraId="004AD6A1" w14:textId="77777777" w:rsidR="00D632A2" w:rsidRPr="00D632A2" w:rsidRDefault="00D632A2" w:rsidP="00D632A2">
      <w:pPr>
        <w:jc w:val="both"/>
        <w:rPr>
          <w:rFonts w:asciiTheme="majorBidi" w:hAnsiTheme="majorBidi" w:cstheme="majorBidi"/>
          <w:sz w:val="24"/>
          <w:szCs w:val="24"/>
        </w:rPr>
      </w:pPr>
      <w:r w:rsidRPr="00D632A2">
        <w:rPr>
          <w:rFonts w:asciiTheme="majorBidi" w:hAnsiTheme="majorBidi" w:cstheme="majorBidi"/>
          <w:sz w:val="24"/>
          <w:szCs w:val="24"/>
        </w:rPr>
        <w:t>McCormack, B., et al. (2015). A Conceptual Framework for PersonCentered Care: Implications for the Future. International Journal of Integrated Care, 15(1).</w:t>
      </w:r>
    </w:p>
    <w:p w14:paraId="52188321" w14:textId="77777777" w:rsidR="00D632A2" w:rsidRPr="00D632A2" w:rsidRDefault="00D632A2" w:rsidP="00D632A2">
      <w:pPr>
        <w:jc w:val="both"/>
        <w:rPr>
          <w:rFonts w:asciiTheme="majorBidi" w:hAnsiTheme="majorBidi" w:cstheme="majorBidi"/>
          <w:sz w:val="24"/>
          <w:szCs w:val="24"/>
        </w:rPr>
      </w:pPr>
      <w:r w:rsidRPr="00D632A2">
        <w:rPr>
          <w:rFonts w:asciiTheme="majorBidi" w:hAnsiTheme="majorBidi" w:cstheme="majorBidi"/>
          <w:sz w:val="24"/>
          <w:szCs w:val="24"/>
        </w:rPr>
        <w:t>Sommers, B. D., et al. (2016). The Affordable Care Act Has Led to Significant Gains in Health Insurance Coverage in Medicaid Expansion States. Health Affairs, 35(1), 6975.</w:t>
      </w:r>
    </w:p>
    <w:p w14:paraId="116B5C03" w14:textId="77777777" w:rsidR="00D632A2" w:rsidRPr="00D632A2" w:rsidRDefault="00D632A2" w:rsidP="00D632A2">
      <w:pPr>
        <w:jc w:val="both"/>
        <w:rPr>
          <w:rFonts w:asciiTheme="majorBidi" w:hAnsiTheme="majorBidi" w:cstheme="majorBidi"/>
          <w:sz w:val="24"/>
          <w:szCs w:val="24"/>
        </w:rPr>
      </w:pPr>
    </w:p>
    <w:p w14:paraId="3BFB87DA" w14:textId="77777777" w:rsidR="0020099E" w:rsidRPr="00EF2BA4" w:rsidRDefault="0020099E" w:rsidP="00D632A2">
      <w:pPr>
        <w:jc w:val="both"/>
        <w:rPr>
          <w:rFonts w:asciiTheme="majorBidi" w:hAnsiTheme="majorBidi" w:cstheme="majorBidi"/>
          <w:sz w:val="24"/>
          <w:szCs w:val="24"/>
        </w:rPr>
      </w:pPr>
    </w:p>
    <w:sectPr w:rsidR="0020099E" w:rsidRPr="00EF2BA4" w:rsidSect="00D632A2">
      <w:type w:val="continuous"/>
      <w:pgSz w:w="12240" w:h="15840" w:code="1"/>
      <w:pgMar w:top="0" w:right="1080" w:bottom="1440" w:left="1080" w:header="17" w:footer="720" w:gutter="0"/>
      <w:pgNumType w:start="2"/>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F2F491" w14:textId="77777777" w:rsidR="00B91421" w:rsidRDefault="00B91421" w:rsidP="00D52D23">
      <w:pPr>
        <w:spacing w:after="0" w:line="240" w:lineRule="auto"/>
      </w:pPr>
      <w:r>
        <w:separator/>
      </w:r>
    </w:p>
  </w:endnote>
  <w:endnote w:type="continuationSeparator" w:id="0">
    <w:p w14:paraId="7E494BBF" w14:textId="77777777" w:rsidR="00B91421" w:rsidRDefault="00B91421" w:rsidP="00D52D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F30CF7" w14:textId="77777777" w:rsidR="00771E32" w:rsidRDefault="00771E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B4118E" w14:textId="77777777" w:rsidR="00447EB3" w:rsidRDefault="00447EB3">
    <w:pPr>
      <w:pBdr>
        <w:left w:val="single" w:sz="12" w:space="11" w:color="4F81BD" w:themeColor="accent1"/>
      </w:pBdr>
      <w:tabs>
        <w:tab w:val="left" w:pos="622"/>
      </w:tabs>
      <w:spacing w:after="0"/>
      <w:rPr>
        <w:rFonts w:asciiTheme="majorHAnsi" w:eastAsiaTheme="majorEastAsia" w:hAnsiTheme="majorHAnsi" w:cstheme="majorBidi"/>
        <w:color w:val="365F91" w:themeColor="accent1" w:themeShade="BF"/>
        <w:sz w:val="26"/>
        <w:szCs w:val="26"/>
      </w:rPr>
    </w:pPr>
    <w:r>
      <w:rPr>
        <w:rFonts w:asciiTheme="majorHAnsi" w:eastAsiaTheme="majorEastAsia" w:hAnsiTheme="majorHAnsi" w:cstheme="majorBidi"/>
        <w:color w:val="365F91" w:themeColor="accent1" w:themeShade="BF"/>
        <w:sz w:val="26"/>
        <w:szCs w:val="26"/>
      </w:rPr>
      <w:fldChar w:fldCharType="begin"/>
    </w:r>
    <w:r>
      <w:rPr>
        <w:rFonts w:asciiTheme="majorHAnsi" w:eastAsiaTheme="majorEastAsia" w:hAnsiTheme="majorHAnsi" w:cstheme="majorBidi"/>
        <w:color w:val="365F91" w:themeColor="accent1" w:themeShade="BF"/>
        <w:sz w:val="26"/>
        <w:szCs w:val="26"/>
      </w:rPr>
      <w:instrText xml:space="preserve"> PAGE   \* MERGEFORMAT </w:instrText>
    </w:r>
    <w:r>
      <w:rPr>
        <w:rFonts w:asciiTheme="majorHAnsi" w:eastAsiaTheme="majorEastAsia" w:hAnsiTheme="majorHAnsi" w:cstheme="majorBidi"/>
        <w:color w:val="365F91" w:themeColor="accent1" w:themeShade="BF"/>
        <w:sz w:val="26"/>
        <w:szCs w:val="26"/>
      </w:rPr>
      <w:fldChar w:fldCharType="separate"/>
    </w:r>
    <w:r w:rsidR="00D632A2">
      <w:rPr>
        <w:rFonts w:asciiTheme="majorHAnsi" w:eastAsiaTheme="majorEastAsia" w:hAnsiTheme="majorHAnsi" w:cstheme="majorBidi"/>
        <w:noProof/>
        <w:color w:val="365F91" w:themeColor="accent1" w:themeShade="BF"/>
        <w:sz w:val="26"/>
        <w:szCs w:val="26"/>
      </w:rPr>
      <w:t>2</w:t>
    </w:r>
    <w:r>
      <w:rPr>
        <w:rFonts w:asciiTheme="majorHAnsi" w:eastAsiaTheme="majorEastAsia" w:hAnsiTheme="majorHAnsi" w:cstheme="majorBidi"/>
        <w:noProof/>
        <w:color w:val="365F91" w:themeColor="accent1" w:themeShade="BF"/>
        <w:sz w:val="26"/>
        <w:szCs w:val="26"/>
      </w:rPr>
      <w:fldChar w:fldCharType="end"/>
    </w:r>
  </w:p>
  <w:p w14:paraId="75127CA7" w14:textId="77777777" w:rsidR="00447EB3" w:rsidRDefault="00447E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09D91C" w14:textId="77777777" w:rsidR="00771E32" w:rsidRDefault="00771E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EA614B" w14:textId="77777777" w:rsidR="00B91421" w:rsidRDefault="00B91421" w:rsidP="00D52D23">
      <w:pPr>
        <w:spacing w:after="0" w:line="240" w:lineRule="auto"/>
      </w:pPr>
      <w:r>
        <w:separator/>
      </w:r>
    </w:p>
  </w:footnote>
  <w:footnote w:type="continuationSeparator" w:id="0">
    <w:p w14:paraId="1CA935F4" w14:textId="77777777" w:rsidR="00B91421" w:rsidRDefault="00B91421" w:rsidP="00D52D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486403" w14:textId="77777777" w:rsidR="00771E32" w:rsidRDefault="00771E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6019" w:type="pct"/>
      <w:tblInd w:w="-1021" w:type="dxa"/>
      <w:tblCellMar>
        <w:top w:w="144" w:type="dxa"/>
        <w:left w:w="115" w:type="dxa"/>
        <w:bottom w:w="144" w:type="dxa"/>
        <w:right w:w="115" w:type="dxa"/>
      </w:tblCellMar>
      <w:tblLook w:val="04A0" w:firstRow="1" w:lastRow="0" w:firstColumn="1" w:lastColumn="0" w:noHBand="0" w:noVBand="1"/>
    </w:tblPr>
    <w:tblGrid>
      <w:gridCol w:w="6252"/>
      <w:gridCol w:w="6159"/>
    </w:tblGrid>
    <w:tr w:rsidR="00447EB3" w14:paraId="372CCDFE" w14:textId="77777777" w:rsidTr="00447EB3">
      <w:trPr>
        <w:trHeight w:val="283"/>
      </w:trPr>
      <w:sdt>
        <w:sdtPr>
          <w:rPr>
            <w:b/>
            <w:caps/>
            <w:color w:val="FFFFFF" w:themeColor="background1"/>
            <w:szCs w:val="18"/>
          </w:rPr>
          <w:alias w:val="Title"/>
          <w:tag w:val=""/>
          <w:id w:val="1130816938"/>
          <w:placeholder>
            <w:docPart w:val="05BC8567FF584F1283EF8F5D5C93C101"/>
          </w:placeholder>
          <w:dataBinding w:prefixMappings="xmlns:ns0='http://purl.org/dc/elements/1.1/' xmlns:ns1='http://schemas.openxmlformats.org/package/2006/metadata/core-properties' " w:xpath="/ns1:coreProperties[1]/ns0:title[1]" w:storeItemID="{6C3C8BC8-F283-45AE-878A-BAB7291924A1}"/>
          <w:text/>
        </w:sdtPr>
        <w:sdtContent>
          <w:tc>
            <w:tcPr>
              <w:tcW w:w="6112" w:type="dxa"/>
              <w:shd w:val="clear" w:color="auto" w:fill="C0504D" w:themeFill="accent2"/>
              <w:vAlign w:val="center"/>
            </w:tcPr>
            <w:p w14:paraId="02F5BBCE" w14:textId="2AE2A950" w:rsidR="00447EB3" w:rsidRPr="00447EB3" w:rsidRDefault="00AA6AE4">
              <w:pPr>
                <w:pStyle w:val="Header"/>
                <w:rPr>
                  <w:b/>
                  <w:caps/>
                  <w:color w:val="FFFFFF" w:themeColor="background1"/>
                  <w:szCs w:val="18"/>
                </w:rPr>
              </w:pPr>
              <w:r>
                <w:rPr>
                  <w:b/>
                  <w:caps/>
                  <w:color w:val="FFFFFF" w:themeColor="background1"/>
                  <w:szCs w:val="18"/>
                </w:rPr>
                <w:t xml:space="preserve">KJMR Vol.1 No. </w:t>
              </w:r>
              <w:r w:rsidR="00771E32">
                <w:rPr>
                  <w:b/>
                  <w:caps/>
                  <w:color w:val="FFFFFF" w:themeColor="background1"/>
                  <w:szCs w:val="18"/>
                </w:rPr>
                <w:t>4</w:t>
              </w:r>
              <w:r>
                <w:rPr>
                  <w:b/>
                  <w:caps/>
                  <w:color w:val="FFFFFF" w:themeColor="background1"/>
                  <w:szCs w:val="18"/>
                </w:rPr>
                <w:t xml:space="preserve"> (2024)</w:t>
              </w:r>
            </w:p>
          </w:tc>
        </w:sdtContent>
      </w:sdt>
      <w:sdt>
        <w:sdtPr>
          <w:rPr>
            <w:b/>
            <w:caps/>
            <w:color w:val="FFFFFF" w:themeColor="background1"/>
            <w:sz w:val="20"/>
            <w:szCs w:val="18"/>
          </w:rPr>
          <w:alias w:val="Date"/>
          <w:tag w:val=""/>
          <w:id w:val="605613154"/>
          <w:placeholder>
            <w:docPart w:val="602D8A934A4F4FD9A3F01D2E382B49DE"/>
          </w:placeholder>
          <w:dataBinding w:prefixMappings="xmlns:ns0='http://schemas.microsoft.com/office/2006/coverPageProps' " w:xpath="/ns0:CoverPageProperties[1]/ns0:PublishDate[1]" w:storeItemID="{55AF091B-3C7A-41E3-B477-F2FDAA23CFDA}"/>
          <w:date>
            <w:dateFormat w:val="MM/dd/yyyy"/>
            <w:lid w:val="en-US"/>
            <w:storeMappedDataAs w:val="dateTime"/>
            <w:calendar w:val="gregorian"/>
          </w:date>
        </w:sdtPr>
        <w:sdtContent>
          <w:tc>
            <w:tcPr>
              <w:tcW w:w="6022" w:type="dxa"/>
              <w:shd w:val="clear" w:color="auto" w:fill="C0504D" w:themeFill="accent2"/>
              <w:vAlign w:val="center"/>
            </w:tcPr>
            <w:p w14:paraId="2832928C" w14:textId="1E0F392C" w:rsidR="00447EB3" w:rsidRPr="00447EB3" w:rsidRDefault="003614B0" w:rsidP="00447EB3">
              <w:pPr>
                <w:pStyle w:val="Header"/>
                <w:jc w:val="right"/>
                <w:rPr>
                  <w:b/>
                  <w:caps/>
                  <w:color w:val="FFFFFF" w:themeColor="background1"/>
                  <w:sz w:val="20"/>
                  <w:szCs w:val="18"/>
                </w:rPr>
              </w:pPr>
              <w:r w:rsidRPr="003614B0">
                <w:rPr>
                  <w:b/>
                  <w:caps/>
                  <w:color w:val="FFFFFF" w:themeColor="background1"/>
                  <w:sz w:val="20"/>
                  <w:szCs w:val="18"/>
                </w:rPr>
                <w:t>HEALTH DISPARITIES...</w:t>
              </w:r>
            </w:p>
          </w:tc>
        </w:sdtContent>
      </w:sdt>
    </w:tr>
    <w:tr w:rsidR="00447EB3" w14:paraId="48898C50" w14:textId="77777777" w:rsidTr="00447EB3">
      <w:trPr>
        <w:trHeight w:hRule="exact" w:val="70"/>
      </w:trPr>
      <w:tc>
        <w:tcPr>
          <w:tcW w:w="6112" w:type="dxa"/>
          <w:shd w:val="clear" w:color="auto" w:fill="4F81BD" w:themeFill="accent1"/>
          <w:tcMar>
            <w:top w:w="0" w:type="dxa"/>
            <w:bottom w:w="0" w:type="dxa"/>
          </w:tcMar>
        </w:tcPr>
        <w:p w14:paraId="4CE75E8B" w14:textId="77777777" w:rsidR="00447EB3" w:rsidRDefault="00447EB3">
          <w:pPr>
            <w:pStyle w:val="Header"/>
            <w:rPr>
              <w:caps/>
              <w:color w:val="FFFFFF" w:themeColor="background1"/>
              <w:sz w:val="18"/>
              <w:szCs w:val="18"/>
            </w:rPr>
          </w:pPr>
        </w:p>
      </w:tc>
      <w:tc>
        <w:tcPr>
          <w:tcW w:w="6022" w:type="dxa"/>
          <w:shd w:val="clear" w:color="auto" w:fill="4F81BD" w:themeFill="accent1"/>
          <w:tcMar>
            <w:top w:w="0" w:type="dxa"/>
            <w:bottom w:w="0" w:type="dxa"/>
          </w:tcMar>
        </w:tcPr>
        <w:p w14:paraId="6322C918" w14:textId="77777777" w:rsidR="00447EB3" w:rsidRDefault="00447EB3">
          <w:pPr>
            <w:pStyle w:val="Header"/>
            <w:rPr>
              <w:caps/>
              <w:color w:val="FFFFFF" w:themeColor="background1"/>
              <w:sz w:val="18"/>
              <w:szCs w:val="18"/>
            </w:rPr>
          </w:pPr>
        </w:p>
      </w:tc>
    </w:tr>
  </w:tbl>
  <w:p w14:paraId="5FD8B6CC" w14:textId="77777777" w:rsidR="00D52D23" w:rsidRPr="00447EB3" w:rsidRDefault="00D52D23" w:rsidP="00447E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B98186" w14:textId="77777777" w:rsidR="00771E32" w:rsidRDefault="00771E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5A1D84"/>
    <w:multiLevelType w:val="hybridMultilevel"/>
    <w:tmpl w:val="B4360E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F665DB5"/>
    <w:multiLevelType w:val="hybridMultilevel"/>
    <w:tmpl w:val="45567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73864AF"/>
    <w:multiLevelType w:val="multilevel"/>
    <w:tmpl w:val="B57E5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47838483">
    <w:abstractNumId w:val="1"/>
  </w:num>
  <w:num w:numId="2" w16cid:durableId="1360815204">
    <w:abstractNumId w:val="0"/>
  </w:num>
  <w:num w:numId="3" w16cid:durableId="10533122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B4235"/>
    <w:rsid w:val="0007459E"/>
    <w:rsid w:val="000D602B"/>
    <w:rsid w:val="000F465D"/>
    <w:rsid w:val="001076B5"/>
    <w:rsid w:val="00112B00"/>
    <w:rsid w:val="001427C3"/>
    <w:rsid w:val="00164824"/>
    <w:rsid w:val="001B2EAD"/>
    <w:rsid w:val="001E1402"/>
    <w:rsid w:val="0020099E"/>
    <w:rsid w:val="00231D39"/>
    <w:rsid w:val="002344AE"/>
    <w:rsid w:val="0025011A"/>
    <w:rsid w:val="00265575"/>
    <w:rsid w:val="002A07D5"/>
    <w:rsid w:val="003120D4"/>
    <w:rsid w:val="00316DE7"/>
    <w:rsid w:val="003438EF"/>
    <w:rsid w:val="00350461"/>
    <w:rsid w:val="003614B0"/>
    <w:rsid w:val="003745B9"/>
    <w:rsid w:val="00390E44"/>
    <w:rsid w:val="003F20BC"/>
    <w:rsid w:val="00424CC5"/>
    <w:rsid w:val="00437A18"/>
    <w:rsid w:val="004467D1"/>
    <w:rsid w:val="00447EB3"/>
    <w:rsid w:val="004509DE"/>
    <w:rsid w:val="004720B4"/>
    <w:rsid w:val="004B3E6A"/>
    <w:rsid w:val="004D215E"/>
    <w:rsid w:val="004F1F10"/>
    <w:rsid w:val="00506057"/>
    <w:rsid w:val="00507A5C"/>
    <w:rsid w:val="00525332"/>
    <w:rsid w:val="005256E8"/>
    <w:rsid w:val="00540402"/>
    <w:rsid w:val="00542127"/>
    <w:rsid w:val="00564504"/>
    <w:rsid w:val="005A11CC"/>
    <w:rsid w:val="005B12C4"/>
    <w:rsid w:val="005D1F69"/>
    <w:rsid w:val="005D70D3"/>
    <w:rsid w:val="006137E6"/>
    <w:rsid w:val="00647EEF"/>
    <w:rsid w:val="006B4235"/>
    <w:rsid w:val="0071037C"/>
    <w:rsid w:val="00771E32"/>
    <w:rsid w:val="007C3CA3"/>
    <w:rsid w:val="007E1FEB"/>
    <w:rsid w:val="007E6D2B"/>
    <w:rsid w:val="00804391"/>
    <w:rsid w:val="008140B6"/>
    <w:rsid w:val="008349FE"/>
    <w:rsid w:val="00876F4C"/>
    <w:rsid w:val="008B07B4"/>
    <w:rsid w:val="008C6176"/>
    <w:rsid w:val="008D3AAA"/>
    <w:rsid w:val="00923487"/>
    <w:rsid w:val="009D0B95"/>
    <w:rsid w:val="00A03CF1"/>
    <w:rsid w:val="00A13E07"/>
    <w:rsid w:val="00A2208A"/>
    <w:rsid w:val="00A4674F"/>
    <w:rsid w:val="00A541C4"/>
    <w:rsid w:val="00A80E89"/>
    <w:rsid w:val="00A963A6"/>
    <w:rsid w:val="00AA6AE4"/>
    <w:rsid w:val="00AB61EA"/>
    <w:rsid w:val="00B100B2"/>
    <w:rsid w:val="00B379BC"/>
    <w:rsid w:val="00B91421"/>
    <w:rsid w:val="00BA19F0"/>
    <w:rsid w:val="00BD57FE"/>
    <w:rsid w:val="00C035B6"/>
    <w:rsid w:val="00C13AA6"/>
    <w:rsid w:val="00C710DB"/>
    <w:rsid w:val="00C76CFB"/>
    <w:rsid w:val="00CA3EFD"/>
    <w:rsid w:val="00CC1031"/>
    <w:rsid w:val="00D34BE3"/>
    <w:rsid w:val="00D52D23"/>
    <w:rsid w:val="00D632A2"/>
    <w:rsid w:val="00D85540"/>
    <w:rsid w:val="00D87B82"/>
    <w:rsid w:val="00E22B96"/>
    <w:rsid w:val="00E277BF"/>
    <w:rsid w:val="00E507B7"/>
    <w:rsid w:val="00E61302"/>
    <w:rsid w:val="00E84EEF"/>
    <w:rsid w:val="00EC65AB"/>
    <w:rsid w:val="00EE51C4"/>
    <w:rsid w:val="00EF2BA4"/>
    <w:rsid w:val="00F7481D"/>
    <w:rsid w:val="00F77C2E"/>
    <w:rsid w:val="00F9151F"/>
    <w:rsid w:val="00F943B7"/>
    <w:rsid w:val="00FA65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E1AD3F"/>
  <w15:docId w15:val="{F7E2DB8D-B3C8-4826-B1CE-AACF33501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1FEB"/>
    <w:pPr>
      <w:ind w:left="720"/>
      <w:contextualSpacing/>
    </w:pPr>
  </w:style>
  <w:style w:type="paragraph" w:styleId="Header">
    <w:name w:val="header"/>
    <w:basedOn w:val="Normal"/>
    <w:link w:val="HeaderChar"/>
    <w:uiPriority w:val="99"/>
    <w:unhideWhenUsed/>
    <w:rsid w:val="00D52D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2D23"/>
  </w:style>
  <w:style w:type="paragraph" w:styleId="Footer">
    <w:name w:val="footer"/>
    <w:basedOn w:val="Normal"/>
    <w:link w:val="FooterChar"/>
    <w:uiPriority w:val="99"/>
    <w:unhideWhenUsed/>
    <w:rsid w:val="00D52D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2D23"/>
  </w:style>
  <w:style w:type="character" w:styleId="Strong">
    <w:name w:val="Strong"/>
    <w:basedOn w:val="DefaultParagraphFont"/>
    <w:uiPriority w:val="22"/>
    <w:qFormat/>
    <w:rsid w:val="005B12C4"/>
    <w:rPr>
      <w:b/>
      <w:bCs/>
    </w:rPr>
  </w:style>
  <w:style w:type="character" w:styleId="Hyperlink">
    <w:name w:val="Hyperlink"/>
    <w:basedOn w:val="DefaultParagraphFont"/>
    <w:uiPriority w:val="99"/>
    <w:semiHidden/>
    <w:unhideWhenUsed/>
    <w:rsid w:val="005B12C4"/>
    <w:rPr>
      <w:color w:val="0000FF"/>
      <w:u w:val="single"/>
    </w:rPr>
  </w:style>
  <w:style w:type="table" w:styleId="TableGrid">
    <w:name w:val="Table Grid"/>
    <w:basedOn w:val="TableNormal"/>
    <w:uiPriority w:val="59"/>
    <w:rsid w:val="005B12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5Dark-Accent11">
    <w:name w:val="List Table 5 Dark - Accent 11"/>
    <w:basedOn w:val="TableNormal"/>
    <w:uiPriority w:val="50"/>
    <w:rsid w:val="005B12C4"/>
    <w:pPr>
      <w:spacing w:after="0"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2-Accent11">
    <w:name w:val="List Table 2 - Accent 11"/>
    <w:basedOn w:val="TableNormal"/>
    <w:uiPriority w:val="47"/>
    <w:rsid w:val="005B12C4"/>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PlaceholderText">
    <w:name w:val="Placeholder Text"/>
    <w:basedOn w:val="DefaultParagraphFont"/>
    <w:uiPriority w:val="99"/>
    <w:semiHidden/>
    <w:rsid w:val="00447EB3"/>
    <w:rPr>
      <w:color w:val="808080"/>
    </w:rPr>
  </w:style>
  <w:style w:type="paragraph" w:styleId="NormalWeb">
    <w:name w:val="Normal (Web)"/>
    <w:basedOn w:val="Normal"/>
    <w:uiPriority w:val="99"/>
    <w:semiHidden/>
    <w:unhideWhenUsed/>
    <w:rsid w:val="00D34BE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BalloonText">
    <w:name w:val="Balloon Text"/>
    <w:basedOn w:val="Normal"/>
    <w:link w:val="BalloonTextChar"/>
    <w:uiPriority w:val="99"/>
    <w:semiHidden/>
    <w:unhideWhenUsed/>
    <w:rsid w:val="00D632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32A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9675713">
      <w:bodyDiv w:val="1"/>
      <w:marLeft w:val="0"/>
      <w:marRight w:val="0"/>
      <w:marTop w:val="0"/>
      <w:marBottom w:val="0"/>
      <w:divBdr>
        <w:top w:val="none" w:sz="0" w:space="0" w:color="auto"/>
        <w:left w:val="none" w:sz="0" w:space="0" w:color="auto"/>
        <w:bottom w:val="none" w:sz="0" w:space="0" w:color="auto"/>
        <w:right w:val="none" w:sz="0" w:space="0" w:color="auto"/>
      </w:divBdr>
    </w:div>
    <w:div w:id="853425816">
      <w:bodyDiv w:val="1"/>
      <w:marLeft w:val="0"/>
      <w:marRight w:val="0"/>
      <w:marTop w:val="0"/>
      <w:marBottom w:val="0"/>
      <w:divBdr>
        <w:top w:val="none" w:sz="0" w:space="0" w:color="auto"/>
        <w:left w:val="none" w:sz="0" w:space="0" w:color="auto"/>
        <w:bottom w:val="none" w:sz="0" w:space="0" w:color="auto"/>
        <w:right w:val="none" w:sz="0" w:space="0" w:color="auto"/>
      </w:divBdr>
    </w:div>
    <w:div w:id="1570649840">
      <w:bodyDiv w:val="1"/>
      <w:marLeft w:val="0"/>
      <w:marRight w:val="0"/>
      <w:marTop w:val="0"/>
      <w:marBottom w:val="0"/>
      <w:divBdr>
        <w:top w:val="none" w:sz="0" w:space="0" w:color="auto"/>
        <w:left w:val="none" w:sz="0" w:space="0" w:color="auto"/>
        <w:bottom w:val="none" w:sz="0" w:space="0" w:color="auto"/>
        <w:right w:val="none" w:sz="0" w:space="0" w:color="auto"/>
      </w:divBdr>
      <w:divsChild>
        <w:div w:id="724331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07/relationships/hdphoto" Target="media/hdphoto1.wdp"/><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https://kjmr.com.pk/kjmr" TargetMode="External"/><Relationship Id="rId14" Type="http://schemas.openxmlformats.org/officeDocument/2006/relationships/image" Target="media/image4.png"/><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5BC8567FF584F1283EF8F5D5C93C101"/>
        <w:category>
          <w:name w:val="General"/>
          <w:gallery w:val="placeholder"/>
        </w:category>
        <w:types>
          <w:type w:val="bbPlcHdr"/>
        </w:types>
        <w:behaviors>
          <w:behavior w:val="content"/>
        </w:behaviors>
        <w:guid w:val="{64645298-1BBD-486F-B5ED-C21C84CEA955}"/>
      </w:docPartPr>
      <w:docPartBody>
        <w:p w:rsidR="00311A13" w:rsidRDefault="005E2204" w:rsidP="005E2204">
          <w:pPr>
            <w:pStyle w:val="05BC8567FF584F1283EF8F5D5C93C101"/>
          </w:pPr>
          <w:r>
            <w:rPr>
              <w:caps/>
              <w:color w:val="FFFFFF" w:themeColor="background1"/>
              <w:sz w:val="18"/>
              <w:szCs w:val="18"/>
            </w:rPr>
            <w:t>[Document title]</w:t>
          </w:r>
        </w:p>
      </w:docPartBody>
    </w:docPart>
    <w:docPart>
      <w:docPartPr>
        <w:name w:val="602D8A934A4F4FD9A3F01D2E382B49DE"/>
        <w:category>
          <w:name w:val="General"/>
          <w:gallery w:val="placeholder"/>
        </w:category>
        <w:types>
          <w:type w:val="bbPlcHdr"/>
        </w:types>
        <w:behaviors>
          <w:behavior w:val="content"/>
        </w:behaviors>
        <w:guid w:val="{FB4D832D-6F23-432A-8445-B25562E291AF}"/>
      </w:docPartPr>
      <w:docPartBody>
        <w:p w:rsidR="00311A13" w:rsidRDefault="005E2204" w:rsidP="005E2204">
          <w:pPr>
            <w:pStyle w:val="602D8A934A4F4FD9A3F01D2E382B49DE"/>
          </w:pPr>
          <w:r>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E2204"/>
    <w:rsid w:val="00311A13"/>
    <w:rsid w:val="004467D1"/>
    <w:rsid w:val="005256E8"/>
    <w:rsid w:val="005E2204"/>
    <w:rsid w:val="008200B4"/>
    <w:rsid w:val="008B07B4"/>
    <w:rsid w:val="00DD4836"/>
    <w:rsid w:val="00E15F2C"/>
    <w:rsid w:val="00E3444D"/>
    <w:rsid w:val="00FA080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E2204"/>
    <w:rPr>
      <w:color w:val="808080"/>
    </w:rPr>
  </w:style>
  <w:style w:type="paragraph" w:customStyle="1" w:styleId="05BC8567FF584F1283EF8F5D5C93C101">
    <w:name w:val="05BC8567FF584F1283EF8F5D5C93C101"/>
    <w:rsid w:val="005E2204"/>
  </w:style>
  <w:style w:type="paragraph" w:customStyle="1" w:styleId="602D8A934A4F4FD9A3F01D2E382B49DE">
    <w:name w:val="602D8A934A4F4FD9A3F01D2E382B49DE"/>
    <w:rsid w:val="005E22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HEALTH DISPARITIES...</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B2536A2-E82B-4E1F-8358-3605EEFFC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2803</Words>
  <Characters>15978</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KJMR Vol.1 No. 4 (2024)</dc:title>
  <dc:creator>Adnan</dc:creator>
  <cp:lastModifiedBy>Ahmad</cp:lastModifiedBy>
  <cp:revision>5</cp:revision>
  <dcterms:created xsi:type="dcterms:W3CDTF">2024-10-08T12:19:00Z</dcterms:created>
  <dcterms:modified xsi:type="dcterms:W3CDTF">2024-10-21T07:15:00Z</dcterms:modified>
</cp:coreProperties>
</file>